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6"/>
        <w:jc w:val="both"/>
        <w:rPr>
          <w:b/>
        </w:rPr>
      </w:pPr>
    </w:p>
    <w:p>
      <w:pPr>
        <w:pStyle w:val="4"/>
        <w:spacing w:before="8"/>
        <w:rPr>
          <w:rFonts w:ascii="黑体"/>
          <w:sz w:val="15"/>
        </w:rPr>
      </w:pPr>
    </w:p>
    <w:p>
      <w:pPr>
        <w:pStyle w:val="2"/>
        <w:spacing w:before="56"/>
        <w:rPr>
          <w:b/>
        </w:rPr>
      </w:pPr>
      <w:r>
        <w:rPr>
          <w:b/>
        </w:rPr>
        <w:t>珠海市妇幼保健院采购需求书（服务类）</w:t>
      </w:r>
    </w:p>
    <w:p>
      <w:pPr>
        <w:pStyle w:val="4"/>
        <w:rPr>
          <w:rFonts w:ascii="宋体"/>
          <w:sz w:val="20"/>
        </w:rPr>
      </w:pPr>
    </w:p>
    <w:p>
      <w:pPr>
        <w:pStyle w:val="4"/>
        <w:spacing w:before="12"/>
        <w:rPr>
          <w:rFonts w:ascii="宋体"/>
          <w:sz w:val="29"/>
        </w:rPr>
      </w:pPr>
    </w:p>
    <w:tbl>
      <w:tblPr>
        <w:tblStyle w:val="1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"/>
        <w:gridCol w:w="1018"/>
        <w:gridCol w:w="80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2035" w:type="dxa"/>
            <w:gridSpan w:val="2"/>
          </w:tcPr>
          <w:p>
            <w:pPr>
              <w:pStyle w:val="16"/>
              <w:spacing w:before="199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采购项目名称</w:t>
            </w:r>
          </w:p>
        </w:tc>
        <w:tc>
          <w:tcPr>
            <w:tcW w:w="8072" w:type="dxa"/>
          </w:tcPr>
          <w:p>
            <w:pPr>
              <w:pStyle w:val="16"/>
              <w:rPr>
                <w:rFonts w:hint="eastAsia" w:ascii="Times New Roman" w:eastAsia="宋体"/>
                <w:sz w:val="30"/>
                <w:lang w:val="en-US" w:eastAsia="zh-CN"/>
              </w:rPr>
            </w:pPr>
            <w:r>
              <w:rPr>
                <w:rFonts w:hint="eastAsia" w:ascii="Times New Roman"/>
                <w:sz w:val="30"/>
              </w:rPr>
              <w:t>珠海市妇幼保健院便民服务</w:t>
            </w:r>
            <w:r>
              <w:rPr>
                <w:rFonts w:hint="eastAsia" w:ascii="Times New Roman"/>
                <w:sz w:val="30"/>
                <w:lang w:eastAsia="zh-CN"/>
              </w:rPr>
              <w:t>（共享充电宝）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8" w:hRule="atLeast"/>
          <w:jc w:val="center"/>
        </w:trPr>
        <w:tc>
          <w:tcPr>
            <w:tcW w:w="1017" w:type="dxa"/>
          </w:tcPr>
          <w:p>
            <w:pPr>
              <w:pStyle w:val="16"/>
              <w:jc w:val="center"/>
              <w:rPr>
                <w:sz w:val="28"/>
              </w:rPr>
            </w:pPr>
          </w:p>
        </w:tc>
        <w:tc>
          <w:tcPr>
            <w:tcW w:w="1018" w:type="dxa"/>
            <w:vAlign w:val="center"/>
          </w:tcPr>
          <w:p>
            <w:pPr>
              <w:pStyle w:val="16"/>
              <w:spacing w:before="239" w:line="417" w:lineRule="auto"/>
              <w:ind w:right="217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基本信息</w:t>
            </w:r>
          </w:p>
        </w:tc>
        <w:tc>
          <w:tcPr>
            <w:tcW w:w="8072" w:type="dxa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  <w:t>（一）项目名称：珠海市妇幼保健院便民服务</w:t>
            </w: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  <w:lang w:eastAsia="zh-CN"/>
              </w:rPr>
              <w:t>（共享充电宝）</w:t>
            </w:r>
          </w:p>
          <w:p>
            <w:pPr>
              <w:widowControl/>
              <w:spacing w:line="560" w:lineRule="exact"/>
              <w:rPr>
                <w:rFonts w:hint="eastAsia" w:ascii="仿宋_GB2312" w:hAnsi="宋体" w:eastAsia="仿宋_GB2312" w:cs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  <w:t>（二）项目内容：为营造温馨就医环境，提升便民服务措施</w:t>
            </w: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  <w:lang w:val="en-US" w:eastAsia="zh-CN"/>
              </w:rPr>
              <w:t>,</w:t>
            </w: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  <w:t>提升医院满意度，拟由第三方服务公司在</w:t>
            </w: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  <w:lang w:eastAsia="zh-CN"/>
              </w:rPr>
              <w:t>我院南琴</w:t>
            </w: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  <w:t>院区、</w:t>
            </w: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  <w:lang w:eastAsia="zh-CN"/>
              </w:rPr>
              <w:t>柠溪</w:t>
            </w: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  <w:t>院区指定区域设置相关便民</w:t>
            </w: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  <w:lang w:eastAsia="zh-CN"/>
              </w:rPr>
              <w:t>服务及设施：共享充电宝。服务期</w:t>
            </w: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  <w:lang w:val="en-US" w:eastAsia="zh-CN"/>
              </w:rPr>
              <w:t>3年。管理费固定价格为200元/台/月（8个以上仓位口）、800元/台/月（30个以上仓位口）。</w:t>
            </w:r>
          </w:p>
          <w:p>
            <w:pPr>
              <w:rPr>
                <w:rFonts w:hint="default" w:ascii="仿宋_GB2312" w:hAnsi="宋体" w:eastAsia="仿宋_GB2312" w:cs="宋体"/>
                <w:b/>
                <w:u w:val="single"/>
                <w:lang w:val="en-US" w:eastAsia="zh-CN"/>
              </w:rPr>
            </w:pPr>
          </w:p>
          <w:p>
            <w:pPr>
              <w:widowControl/>
              <w:spacing w:line="560" w:lineRule="exact"/>
              <w:rPr>
                <w:rFonts w:ascii="黑体" w:hAnsi="黑体" w:eastAsia="黑体" w:cs="宋体"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  <w:t>（三）项目预算：</w:t>
            </w: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  <w:lang w:val="en-US" w:eastAsia="zh-CN"/>
              </w:rPr>
              <w:t>成交供应商支付管理费、电费。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6" w:hRule="atLeast"/>
          <w:jc w:val="center"/>
        </w:trPr>
        <w:tc>
          <w:tcPr>
            <w:tcW w:w="1017" w:type="dxa"/>
            <w:vMerge w:val="restart"/>
          </w:tcPr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spacing w:before="1"/>
              <w:rPr>
                <w:sz w:val="30"/>
              </w:rPr>
            </w:pPr>
          </w:p>
          <w:p>
            <w:pPr>
              <w:pStyle w:val="16"/>
              <w:spacing w:line="417" w:lineRule="auto"/>
              <w:ind w:left="367" w:right="35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采购需求</w:t>
            </w:r>
          </w:p>
        </w:tc>
        <w:tc>
          <w:tcPr>
            <w:tcW w:w="1018" w:type="dxa"/>
          </w:tcPr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spacing w:before="239" w:line="417" w:lineRule="auto"/>
              <w:ind w:left="226" w:right="217"/>
              <w:rPr>
                <w:b/>
                <w:sz w:val="28"/>
              </w:rPr>
            </w:pPr>
            <w:r>
              <w:rPr>
                <w:b/>
                <w:sz w:val="28"/>
              </w:rPr>
              <w:t>技术部分</w:t>
            </w:r>
          </w:p>
        </w:tc>
        <w:tc>
          <w:tcPr>
            <w:tcW w:w="8072" w:type="dxa"/>
          </w:tcPr>
          <w:p>
            <w:pPr>
              <w:spacing w:line="560" w:lineRule="exact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  <w:t>（一）服务内容：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中标人在我院南琴院区、柠溪院区指定区域（详见下表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）设置相关便民服务及设施：共享充电宝。采购人收取管理费、电费，为中标人提供投放场地和用电供应。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备注：投放地点及数量以采购人实际需求为准，采购人不保证最低投放量。因不可抗力因素或医院场地发生变化不允许投放时，医院有权随时终止合同并不承担任何赔偿。</w:t>
            </w:r>
          </w:p>
          <w:tbl>
            <w:tblPr>
              <w:tblStyle w:val="9"/>
              <w:tblW w:w="5000" w:type="pct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33"/>
              <w:gridCol w:w="5829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共享充电宝需求汇总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拟投放地点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B区服务大厅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急诊科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儿科门诊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A区住院服务大厅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妇科门诊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产科门诊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生殖中心门诊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产科高危区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手术室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妇科肿瘤内分泌病区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儿童重症监护室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小儿呼吸科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生殖医学中心门诊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产科高危区（南）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新生儿科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南琴院区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产科保胎区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柠溪院区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五号楼大厅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柠溪院区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手术室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柠溪院区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妇科中西医结合病区（北）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柠溪院区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生殖医学中心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柠溪院区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眼科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柠溪院区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儿科门诊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柠溪院区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产休区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1385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柠溪院区</w:t>
                  </w:r>
                </w:p>
              </w:tc>
              <w:tc>
                <w:tcPr>
                  <w:tcW w:w="361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妇科门诊（北）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4"/>
              <w:numPr>
                <w:ilvl w:val="0"/>
                <w:numId w:val="1"/>
              </w:numPr>
            </w:pPr>
            <w:r>
              <w:rPr>
                <w:rFonts w:hint="eastAsia" w:ascii="仿宋_GB2312" w:hAnsi="宋体" w:eastAsia="仿宋_GB2312" w:cs="宋体"/>
                <w:b/>
              </w:rPr>
              <w:t>服务标准/要求：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一、设备便捷要求</w:t>
            </w:r>
          </w:p>
          <w:p>
            <w:pPr>
              <w:numPr>
                <w:ilvl w:val="0"/>
                <w:numId w:val="2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租借方式：无需安装APP，支持支付宝或微信扫码租借；用户扫码后阅读安全须知/使用注意事项点击确定后进行下一步操作；</w:t>
            </w:r>
          </w:p>
          <w:p>
            <w:pPr>
              <w:numPr>
                <w:ilvl w:val="0"/>
                <w:numId w:val="2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信用免押：支持微信或支付宝信用免押金租借，极速退还押金；</w:t>
            </w:r>
          </w:p>
          <w:p>
            <w:pPr>
              <w:numPr>
                <w:ilvl w:val="0"/>
                <w:numId w:val="2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租借系统可实现远程升级与迭代管理、远程操作；</w:t>
            </w:r>
          </w:p>
          <w:p>
            <w:pPr>
              <w:numPr>
                <w:ilvl w:val="0"/>
                <w:numId w:val="2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每月租借数据可实时汇总给采购人；</w:t>
            </w:r>
          </w:p>
          <w:p>
            <w:pPr>
              <w:numPr>
                <w:ilvl w:val="0"/>
                <w:numId w:val="2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图文并茂地张贴借用步骤、还充电宝步骤、使用注意事项、收费规则、使用充电宝租借过程遇到问题的24小时服务热线。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二、服务要求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产品对外收费标准：</w:t>
            </w: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不高于3元/小时</w:t>
            </w:r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产品基本参数要求：充电仓位不少于8口/台；支持快充；同时具备独立的Lightning接口、Type-c接口、microUSB接口；电芯采用国标安全锂电池，具备过充、过压、短路、高温断电保护功能。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供应商必须是自行提供服务，不得将该项目经营管理项目进行任何方式的分包、转租，否则采购人有权终止合同且不承担任何赔偿责任；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供应商负责设备的提供和安装，保证正常使用设备的各种功能，设备故障响应时间不超过2小时；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供应商所提供的设备质量、设备安全、服务质量、清洁卫生、用户安全、押金退还等方面引起的投诉纠纷或赔偿均由供应商全权负责；如涉及退款事宜，供应商必须在60分钟内处理完成。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供应商应服从医院相关职能管理，遵守医院规章制度，自行承担所投放设备的日常维护工作，服务期内对出现故障或丢失损坏的设备设施进行免费维修、更换和补齐；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供应商在产品投放前应自行充分论证接入电线线路的安全性，投放后因产品原因造成的一切安全事故（包括但不限于：失火、漏电、爆炸等）由服务商承担全部责任，并对此造成的人身及财产损失进行赔偿；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供应商须自主处理本项目的投诉受理和反馈，定期自主进行安全检查和配合医院有关职能部门进行安全检查工作；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供应商的经营行为接受医院的全程监督管理；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设备服务时间要求：24小时*365天。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若院方需要供应商将服务及相关配套设施移动至其他指定区域时，院方需提前通知乙方，供应商在接收到院方通知之日起5天内完成。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设备的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清洁消毒工作应符合医院感染控制的要求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定期对投放的充电宝设备进行表面的清洁消毒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。</w:t>
            </w:r>
          </w:p>
          <w:p>
            <w:pPr>
              <w:pStyle w:val="4"/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供应商须为投放设备投保服务期内的产品责任险，提供安全保障服务。</w:t>
            </w:r>
          </w:p>
          <w:p>
            <w:pPr>
              <w:pStyle w:val="4"/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承诺无广告运营，服务全过程不得进行广告宣传，不得在设备外观、设备显示屏、用户操作界面进行广告宣传；设备显示屏只允许有扫码、直接下单功能，服务全过程不允许包含充值、注册会员后再下单或诱导用户点击第三方链接的功能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（须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提供承诺函，格式自拟，加盖公章。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）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供应商免费提供该项目便民设施所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zh-CN" w:eastAsia="zh-CN" w:bidi="ar"/>
              </w:rPr>
              <w:t>配套相关的附带设备，如灭火器、监控、插座、管线、计量表具等。</w:t>
            </w:r>
          </w:p>
          <w:p>
            <w:pPr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/>
              </w:rPr>
              <w:t>所提供充电宝具备UN38.3检测报告（《联合国危险物品运输试验和标准手册》第3部分38.3款））；所有产品须通过国家强制性3C认证及RoHS环保认证。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三、电费的计算</w:t>
            </w:r>
          </w:p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电费按供应商所投入设备的满载功率进行计算。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四、安全事故责任</w:t>
            </w:r>
          </w:p>
          <w:p>
            <w:pPr>
              <w:numPr>
                <w:ilvl w:val="0"/>
                <w:numId w:val="4"/>
              </w:numPr>
              <w:ind w:left="425" w:leftChars="0" w:hanging="425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供应商要加强防范，杜绝一切安全事故的发生。如由于供应商的设备原因引发的火灾、人身伤害等事故，由供应商负全责。</w:t>
            </w:r>
          </w:p>
          <w:p>
            <w:pPr>
              <w:numPr>
                <w:ilvl w:val="0"/>
                <w:numId w:val="4"/>
              </w:numPr>
              <w:ind w:left="425" w:leftChars="0" w:hanging="425" w:firstLineChars="0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供应商与院方需签订安全生产责任书。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9" w:hRule="atLeast"/>
          <w:jc w:val="center"/>
        </w:trPr>
        <w:tc>
          <w:tcPr>
            <w:tcW w:w="1017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rPr>
                <w:sz w:val="28"/>
              </w:rPr>
            </w:pPr>
          </w:p>
          <w:p>
            <w:pPr>
              <w:pStyle w:val="16"/>
              <w:spacing w:before="7"/>
              <w:rPr>
                <w:sz w:val="21"/>
              </w:rPr>
            </w:pPr>
          </w:p>
          <w:p>
            <w:pPr>
              <w:pStyle w:val="16"/>
              <w:spacing w:line="417" w:lineRule="auto"/>
              <w:ind w:left="226" w:right="217"/>
              <w:rPr>
                <w:b/>
                <w:sz w:val="28"/>
              </w:rPr>
            </w:pPr>
            <w:r>
              <w:rPr>
                <w:b/>
                <w:sz w:val="28"/>
              </w:rPr>
              <w:t>商务部分</w:t>
            </w:r>
          </w:p>
        </w:tc>
        <w:tc>
          <w:tcPr>
            <w:tcW w:w="8072" w:type="dxa"/>
          </w:tcPr>
          <w:p>
            <w:pPr>
              <w:pStyle w:val="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实施期限：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合同签订之日起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年。合同签订后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15天内完成投入设备的安装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、调试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工作。</w:t>
            </w:r>
          </w:p>
          <w:p>
            <w:pPr>
              <w:pStyle w:val="4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实施范围：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珠海市妇幼保健院</w:t>
            </w:r>
          </w:p>
          <w:p>
            <w:pPr>
              <w:pStyle w:val="4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付款条件：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合同签订后，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每季度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结束后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30天内向院方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支付管理费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、电费。管理费按每季度实际投放设备数量进行结算；电费计算方式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设备满载功率度数×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医院现用电价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×设备数。</w:t>
            </w:r>
          </w:p>
          <w:p>
            <w:pPr>
              <w:pStyle w:val="4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包装与运输要求：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无</w:t>
            </w:r>
          </w:p>
          <w:p>
            <w:pPr>
              <w:pStyle w:val="4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售后服务：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供应商提供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24小时*365天售后服务，投放现场提供24小时服务联系方式。</w:t>
            </w:r>
          </w:p>
          <w:p>
            <w:pPr>
              <w:pStyle w:val="4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培训要求：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无</w:t>
            </w:r>
          </w:p>
          <w:p>
            <w:pPr>
              <w:pStyle w:val="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其他：</w:t>
            </w:r>
          </w:p>
          <w:p>
            <w:pPr>
              <w:pStyle w:val="4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  <w:t>双方签订合同后，若出现以下情况之一，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采购人有权终止合同且不承担任何赔偿责任：</w:t>
            </w:r>
          </w:p>
          <w:p>
            <w:pPr>
              <w:pStyle w:val="4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  <w:t>（1）在合作期间，未经院方书面同意，供应商不得将服务转包、转租、分租、转借给第三方；</w:t>
            </w:r>
          </w:p>
          <w:p>
            <w:pPr>
              <w:pStyle w:val="4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  <w:t xml:space="preserve">（2）一年内院方收到投诉，且查证属实责任在供应商的达到3次； </w:t>
            </w:r>
          </w:p>
          <w:p>
            <w:pPr>
              <w:pStyle w:val="4"/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 w:eastAsia="zh-CN"/>
              </w:rPr>
              <w:t>（3）因供应商设备质量或管理原因等安全事故造成医院、供应商自身或第三方人身伤害或物资、经济方面的损失。</w:t>
            </w:r>
          </w:p>
          <w:p>
            <w:pPr>
              <w:pStyle w:val="4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（4）因不可抗力因素或医院场地发生变化不允许投放。</w:t>
            </w:r>
          </w:p>
          <w:p>
            <w:pPr>
              <w:pStyle w:val="4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（5）供应商未按时支付场地管理费、电费。</w:t>
            </w:r>
          </w:p>
          <w:p>
            <w:pPr>
              <w:pStyle w:val="4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（6）未经院方批准擅自提高收费标准。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  <w:jc w:val="center"/>
        </w:trPr>
        <w:tc>
          <w:tcPr>
            <w:tcW w:w="1017" w:type="dxa"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90" w:type="dxa"/>
            <w:gridSpan w:val="2"/>
          </w:tcPr>
          <w:p>
            <w:pPr>
              <w:spacing w:beforeLines="0" w:afterLines="0"/>
              <w:jc w:val="left"/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sz w:val="32"/>
                <w:szCs w:val="32"/>
              </w:rPr>
              <w:t>供应商特定资格/资质要求：</w:t>
            </w:r>
          </w:p>
          <w:p>
            <w:pPr>
              <w:spacing w:beforeLines="0" w:afterLines="0"/>
              <w:jc w:val="left"/>
              <w:rPr>
                <w:rFonts w:ascii="仿宋_GB2312" w:hAnsi="宋体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zh-CN" w:eastAsia="zh-CN" w:bidi="zh-CN"/>
              </w:rPr>
              <w:t>满足《中华人民共和国采购法》第二十二条规定；</w:t>
            </w:r>
          </w:p>
        </w:tc>
      </w:tr>
    </w:tbl>
    <w:p>
      <w:pPr>
        <w:pStyle w:val="4"/>
        <w:rPr>
          <w:rFonts w:ascii="Times New Roman"/>
          <w:sz w:val="20"/>
        </w:rPr>
      </w:pPr>
    </w:p>
    <w:sectPr>
      <w:footerReference r:id="rId3" w:type="default"/>
      <w:footerReference r:id="rId4" w:type="even"/>
      <w:pgSz w:w="11910" w:h="16840"/>
      <w:pgMar w:top="1580" w:right="460" w:bottom="1620" w:left="460" w:header="0" w:footer="1431" w:gutter="0"/>
      <w:pgNumType w:start="3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D99DBC"/>
    <w:multiLevelType w:val="singleLevel"/>
    <w:tmpl w:val="C2D99DB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B4C4ED6"/>
    <w:multiLevelType w:val="singleLevel"/>
    <w:tmpl w:val="FB4C4ED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34BD2CF8"/>
    <w:multiLevelType w:val="singleLevel"/>
    <w:tmpl w:val="34BD2CF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36967D27"/>
    <w:multiLevelType w:val="singleLevel"/>
    <w:tmpl w:val="36967D2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05A8"/>
    <w:rsid w:val="000715CE"/>
    <w:rsid w:val="001954D7"/>
    <w:rsid w:val="001E76E8"/>
    <w:rsid w:val="00216D29"/>
    <w:rsid w:val="00216D71"/>
    <w:rsid w:val="00284AED"/>
    <w:rsid w:val="002C3289"/>
    <w:rsid w:val="002D42A5"/>
    <w:rsid w:val="00327C3B"/>
    <w:rsid w:val="003364B8"/>
    <w:rsid w:val="00341C68"/>
    <w:rsid w:val="00376E08"/>
    <w:rsid w:val="003D5774"/>
    <w:rsid w:val="00420712"/>
    <w:rsid w:val="004B251F"/>
    <w:rsid w:val="00501166"/>
    <w:rsid w:val="00504C85"/>
    <w:rsid w:val="00512888"/>
    <w:rsid w:val="005A106F"/>
    <w:rsid w:val="00665312"/>
    <w:rsid w:val="006D0201"/>
    <w:rsid w:val="006D5786"/>
    <w:rsid w:val="007072A6"/>
    <w:rsid w:val="00725718"/>
    <w:rsid w:val="00810DAC"/>
    <w:rsid w:val="008817A5"/>
    <w:rsid w:val="008B29BD"/>
    <w:rsid w:val="008C1222"/>
    <w:rsid w:val="0093279C"/>
    <w:rsid w:val="00962B5E"/>
    <w:rsid w:val="00974173"/>
    <w:rsid w:val="009B4179"/>
    <w:rsid w:val="00A534D4"/>
    <w:rsid w:val="00A755FB"/>
    <w:rsid w:val="00AC2D1E"/>
    <w:rsid w:val="00B90D46"/>
    <w:rsid w:val="00B921CD"/>
    <w:rsid w:val="00BB04F3"/>
    <w:rsid w:val="00BE35F2"/>
    <w:rsid w:val="00C26CBB"/>
    <w:rsid w:val="00CB5082"/>
    <w:rsid w:val="00D03685"/>
    <w:rsid w:val="00DA4B25"/>
    <w:rsid w:val="00E5664D"/>
    <w:rsid w:val="00E76E89"/>
    <w:rsid w:val="00EC5900"/>
    <w:rsid w:val="00EC7CCE"/>
    <w:rsid w:val="00EE6413"/>
    <w:rsid w:val="00F177FC"/>
    <w:rsid w:val="00FB7FC8"/>
    <w:rsid w:val="034B06D1"/>
    <w:rsid w:val="04650EDF"/>
    <w:rsid w:val="05190E07"/>
    <w:rsid w:val="07691BB9"/>
    <w:rsid w:val="0BD4639E"/>
    <w:rsid w:val="1093696A"/>
    <w:rsid w:val="124C2311"/>
    <w:rsid w:val="12FA11B0"/>
    <w:rsid w:val="15172003"/>
    <w:rsid w:val="175E1BC7"/>
    <w:rsid w:val="179518BE"/>
    <w:rsid w:val="18352CE0"/>
    <w:rsid w:val="1A425633"/>
    <w:rsid w:val="1A8F6692"/>
    <w:rsid w:val="1B1F4D25"/>
    <w:rsid w:val="1EA86B30"/>
    <w:rsid w:val="1F5472F6"/>
    <w:rsid w:val="20EF7097"/>
    <w:rsid w:val="22103F27"/>
    <w:rsid w:val="235A170F"/>
    <w:rsid w:val="24F35FAE"/>
    <w:rsid w:val="270E3D1E"/>
    <w:rsid w:val="27B527C4"/>
    <w:rsid w:val="27B60CB4"/>
    <w:rsid w:val="2B42319B"/>
    <w:rsid w:val="2BE33EDA"/>
    <w:rsid w:val="30B20672"/>
    <w:rsid w:val="31163769"/>
    <w:rsid w:val="32F83B93"/>
    <w:rsid w:val="35E037F3"/>
    <w:rsid w:val="39AE72B7"/>
    <w:rsid w:val="3B262996"/>
    <w:rsid w:val="3C0D0E14"/>
    <w:rsid w:val="3CC60243"/>
    <w:rsid w:val="3D9C7FDB"/>
    <w:rsid w:val="3EF551DA"/>
    <w:rsid w:val="3F53181A"/>
    <w:rsid w:val="3FF04DB7"/>
    <w:rsid w:val="44D24A75"/>
    <w:rsid w:val="452644FF"/>
    <w:rsid w:val="47DF7717"/>
    <w:rsid w:val="4D4D4DDF"/>
    <w:rsid w:val="4FE22625"/>
    <w:rsid w:val="51261C45"/>
    <w:rsid w:val="524C47C0"/>
    <w:rsid w:val="529250DB"/>
    <w:rsid w:val="53DD7F26"/>
    <w:rsid w:val="5632642C"/>
    <w:rsid w:val="588A5FD1"/>
    <w:rsid w:val="595111F7"/>
    <w:rsid w:val="5D9E0243"/>
    <w:rsid w:val="5E5F7DF2"/>
    <w:rsid w:val="60215008"/>
    <w:rsid w:val="6185598F"/>
    <w:rsid w:val="62D9764F"/>
    <w:rsid w:val="63340B4D"/>
    <w:rsid w:val="642C6D97"/>
    <w:rsid w:val="65721930"/>
    <w:rsid w:val="68B41397"/>
    <w:rsid w:val="694C391E"/>
    <w:rsid w:val="69CD613A"/>
    <w:rsid w:val="6AD311BB"/>
    <w:rsid w:val="6B542A5C"/>
    <w:rsid w:val="6C046D1F"/>
    <w:rsid w:val="6F6D675F"/>
    <w:rsid w:val="700E0B43"/>
    <w:rsid w:val="77CC2A1C"/>
    <w:rsid w:val="782B1B27"/>
    <w:rsid w:val="7A124E54"/>
    <w:rsid w:val="7BA03361"/>
    <w:rsid w:val="7EA426D4"/>
    <w:rsid w:val="7FE7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jc w:val="center"/>
      <w:outlineLvl w:val="0"/>
    </w:pPr>
    <w:rPr>
      <w:rFonts w:ascii="宋体" w:hAnsi="宋体" w:eastAsia="宋体" w:cs="宋体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autoSpaceDE/>
      <w:autoSpaceDN/>
      <w:spacing w:before="260" w:after="260" w:line="416" w:lineRule="auto"/>
      <w:jc w:val="both"/>
      <w:outlineLvl w:val="1"/>
    </w:pPr>
    <w:rPr>
      <w:rFonts w:ascii="Arial" w:hAnsi="Arial" w:eastAsia="黑体"/>
      <w:b/>
      <w:bCs/>
      <w:kern w:val="2"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1"/>
    <w:rPr>
      <w:sz w:val="32"/>
      <w:szCs w:val="32"/>
    </w:rPr>
  </w:style>
  <w:style w:type="paragraph" w:styleId="5">
    <w:name w:val="Title"/>
    <w:basedOn w:val="1"/>
    <w:next w:val="1"/>
    <w:qFormat/>
    <w:uiPriority w:val="10"/>
    <w:pPr>
      <w:wordWrap w:val="0"/>
      <w:spacing w:before="240" w:after="60" w:line="360" w:lineRule="auto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basedOn w:val="11"/>
    <w:semiHidden/>
    <w:unhideWhenUsed/>
    <w:qFormat/>
    <w:uiPriority w:val="99"/>
    <w:rPr>
      <w:color w:val="000000"/>
      <w:u w:val="none"/>
    </w:rPr>
  </w:style>
  <w:style w:type="character" w:styleId="13">
    <w:name w:val="Hyperlink"/>
    <w:basedOn w:val="11"/>
    <w:semiHidden/>
    <w:unhideWhenUsed/>
    <w:qFormat/>
    <w:uiPriority w:val="99"/>
    <w:rPr>
      <w:color w:val="000000"/>
      <w:u w:val="none"/>
    </w:r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pPr>
      <w:ind w:left="2033" w:hanging="322"/>
    </w:pPr>
  </w:style>
  <w:style w:type="paragraph" w:customStyle="1" w:styleId="16">
    <w:name w:val="Table Paragraph"/>
    <w:basedOn w:val="1"/>
    <w:qFormat/>
    <w:uiPriority w:val="1"/>
    <w:rPr>
      <w:rFonts w:ascii="宋体" w:hAnsi="宋体" w:eastAsia="宋体" w:cs="宋体"/>
    </w:rPr>
  </w:style>
  <w:style w:type="character" w:customStyle="1" w:styleId="17">
    <w:name w:val="页眉 Char"/>
    <w:basedOn w:val="11"/>
    <w:link w:val="7"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8">
    <w:name w:val="页脚 Char"/>
    <w:basedOn w:val="11"/>
    <w:link w:val="6"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paragraph" w:customStyle="1" w:styleId="19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仿宋" w:hAnsi="仿宋" w:eastAsia="仿宋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2193</Words>
  <Characters>2234</Characters>
  <Lines>19</Lines>
  <Paragraphs>5</Paragraphs>
  <TotalTime>63</TotalTime>
  <ScaleCrop>false</ScaleCrop>
  <LinksUpToDate>false</LinksUpToDate>
  <CharactersWithSpaces>2235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2024-04-29T15:16:00Z</dcterms:created>
  <dc:creator>fy</dc:creator>
  <cp:lastModifiedBy>李泽谦</cp:lastModifiedBy>
  <dcterms:modified xsi:type="dcterms:W3CDTF">2026-06-25T02:41:57Z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2024-04-29T00:00:00Z</vt:filetime>
  </property>
  <property fmtid="{D5CDD505-2E9C-101B-9397-08002B2CF9AE}" pid="5" name="KSOProductBuildVer">
    <vt:lpwstr>2052-11.8.2.12085</vt:lpwstr>
  </property>
  <property fmtid="{D5CDD505-2E9C-101B-9397-08002B2CF9AE}" pid="6" name="ICV">
    <vt:lpwstr>878044E10FC84AC38AEADFC8547E5C1E_13</vt:lpwstr>
  </property>
  <property fmtid="{D5CDD505-2E9C-101B-9397-08002B2CF9AE}" pid="7" name="KSOTemplateDocerSaveRecord">
    <vt:lpwstr>eyJoZGlkIjoiM2ZmN2Q0N2FjMzZhNGQ4NDg3MTM3OTcxMGJiM2ExNDAiLCJ1c2VySWQiOiIzOTk4MjA3MjgifQ==</vt:lpwstr>
  </property>
</Properties>
</file>