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B6A5F">
      <w:pPr>
        <w:pStyle w:val="6"/>
        <w:spacing w:before="54"/>
        <w:rPr>
          <w:rFonts w:hint="eastAsia" w:ascii="黑体" w:eastAsia="黑体"/>
          <w:lang w:val="en-US" w:eastAsia="zh-CN"/>
        </w:rPr>
      </w:pPr>
      <w:r>
        <w:rPr>
          <w:rFonts w:hint="eastAsia" w:ascii="黑体" w:eastAsia="黑体"/>
        </w:rPr>
        <w:t xml:space="preserve">附件 </w:t>
      </w:r>
      <w:r>
        <w:rPr>
          <w:rFonts w:hint="eastAsia" w:ascii="黑体" w:eastAsia="黑体"/>
          <w:lang w:val="en-US" w:eastAsia="zh-CN"/>
        </w:rPr>
        <w:t>1</w:t>
      </w:r>
    </w:p>
    <w:p w14:paraId="06ACA16C">
      <w:pPr>
        <w:pStyle w:val="6"/>
        <w:rPr>
          <w:rFonts w:ascii="黑体"/>
          <w:sz w:val="20"/>
        </w:rPr>
      </w:pPr>
    </w:p>
    <w:p w14:paraId="27B956B8">
      <w:pPr>
        <w:pStyle w:val="6"/>
        <w:spacing w:before="8"/>
        <w:rPr>
          <w:rFonts w:ascii="黑体"/>
          <w:sz w:val="15"/>
        </w:rPr>
      </w:pPr>
    </w:p>
    <w:p w14:paraId="0C40AA50">
      <w:pPr>
        <w:pStyle w:val="3"/>
        <w:spacing w:before="56"/>
        <w:rPr>
          <w:b/>
        </w:rPr>
      </w:pPr>
      <w:r>
        <w:rPr>
          <w:b/>
        </w:rPr>
        <w:t>珠海市妇幼保健院采购需求书（货物类）</w:t>
      </w:r>
    </w:p>
    <w:p w14:paraId="27D26DE5">
      <w:pPr>
        <w:pStyle w:val="6"/>
        <w:rPr>
          <w:rFonts w:ascii="宋体"/>
          <w:sz w:val="20"/>
        </w:rPr>
      </w:pPr>
    </w:p>
    <w:p w14:paraId="4ECEB1D3">
      <w:pPr>
        <w:pStyle w:val="6"/>
        <w:spacing w:before="12"/>
        <w:rPr>
          <w:rFonts w:ascii="宋体"/>
          <w:sz w:val="29"/>
        </w:rPr>
      </w:pPr>
    </w:p>
    <w:tbl>
      <w:tblPr>
        <w:tblStyle w:val="18"/>
        <w:tblW w:w="107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885"/>
        <w:gridCol w:w="8852"/>
      </w:tblGrid>
      <w:tr w14:paraId="3A85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879" w:type="dxa"/>
            <w:gridSpan w:val="2"/>
          </w:tcPr>
          <w:p w14:paraId="6A88B801">
            <w:pPr>
              <w:pStyle w:val="20"/>
              <w:spacing w:before="199"/>
              <w:ind w:left="173"/>
              <w:rPr>
                <w:b/>
                <w:sz w:val="28"/>
              </w:rPr>
            </w:pPr>
            <w:r>
              <w:rPr>
                <w:b/>
                <w:sz w:val="28"/>
              </w:rPr>
              <w:t>采购项目名称</w:t>
            </w:r>
          </w:p>
        </w:tc>
        <w:tc>
          <w:tcPr>
            <w:tcW w:w="8852" w:type="dxa"/>
          </w:tcPr>
          <w:p w14:paraId="3CA92919">
            <w:pPr>
              <w:pStyle w:val="20"/>
              <w:rPr>
                <w:rFonts w:hint="eastAsia" w:ascii="仿宋" w:hAnsi="仿宋" w:eastAsia="仿宋"/>
                <w:sz w:val="28"/>
                <w:szCs w:val="28"/>
                <w:lang w:val="en-US" w:eastAsia="zh-CN"/>
              </w:rPr>
            </w:pPr>
            <w:r>
              <w:rPr>
                <w:rFonts w:hint="eastAsia" w:cs="Arial" w:asciiTheme="minorEastAsia" w:hAnsiTheme="minorEastAsia"/>
                <w:color w:val="000000"/>
                <w:kern w:val="0"/>
                <w:sz w:val="28"/>
                <w:szCs w:val="28"/>
                <w:lang w:val="en-US" w:eastAsia="zh-CN" w:bidi="ar-SA"/>
              </w:rPr>
              <w:t>珠海市妇幼保健院后勤物资（窗帘、床帘）年度服务商采购项目</w:t>
            </w:r>
          </w:p>
        </w:tc>
      </w:tr>
      <w:tr w14:paraId="169F7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8" w:hRule="atLeast"/>
          <w:jc w:val="center"/>
        </w:trPr>
        <w:tc>
          <w:tcPr>
            <w:tcW w:w="994" w:type="dxa"/>
          </w:tcPr>
          <w:p w14:paraId="22552291">
            <w:pPr>
              <w:pStyle w:val="20"/>
              <w:jc w:val="center"/>
              <w:rPr>
                <w:sz w:val="28"/>
              </w:rPr>
            </w:pPr>
          </w:p>
        </w:tc>
        <w:tc>
          <w:tcPr>
            <w:tcW w:w="885" w:type="dxa"/>
            <w:vAlign w:val="center"/>
          </w:tcPr>
          <w:p w14:paraId="371BCE26">
            <w:pPr>
              <w:pStyle w:val="20"/>
              <w:spacing w:before="239" w:line="417" w:lineRule="auto"/>
              <w:ind w:right="217"/>
              <w:rPr>
                <w:b/>
                <w:sz w:val="28"/>
              </w:rPr>
            </w:pPr>
            <w:r>
              <w:rPr>
                <w:rFonts w:hint="eastAsia"/>
                <w:b/>
                <w:sz w:val="28"/>
              </w:rPr>
              <w:t>基本信息</w:t>
            </w:r>
          </w:p>
        </w:tc>
        <w:tc>
          <w:tcPr>
            <w:tcW w:w="8852" w:type="dxa"/>
          </w:tcPr>
          <w:p w14:paraId="04456F5A">
            <w:pPr>
              <w:pStyle w:val="6"/>
              <w:numPr>
                <w:ilvl w:val="0"/>
                <w:numId w:val="0"/>
              </w:numPr>
              <w:rPr>
                <w:rFonts w:hint="default" w:cs="Arial" w:asciiTheme="minorEastAsia" w:hAnsiTheme="minorEastAsia" w:eastAsiaTheme="minorEastAsia"/>
                <w:color w:val="000000"/>
                <w:kern w:val="0"/>
                <w:sz w:val="28"/>
                <w:szCs w:val="28"/>
                <w:lang w:val="en-US" w:eastAsia="zh-CN" w:bidi="ar-SA"/>
              </w:rPr>
            </w:pPr>
            <w:r>
              <w:rPr>
                <w:rFonts w:hint="eastAsia" w:ascii="仿宋" w:hAnsi="仿宋" w:eastAsia="仿宋" w:cs="宋体"/>
                <w:b/>
                <w:sz w:val="28"/>
                <w:szCs w:val="28"/>
              </w:rPr>
              <w:t>（一）项目名称：</w:t>
            </w:r>
            <w:r>
              <w:rPr>
                <w:rFonts w:hint="eastAsia" w:cs="Arial" w:asciiTheme="minorEastAsia" w:hAnsiTheme="minorEastAsia"/>
                <w:color w:val="000000"/>
                <w:kern w:val="0"/>
                <w:sz w:val="28"/>
                <w:szCs w:val="28"/>
                <w:lang w:val="en-US" w:eastAsia="zh-CN" w:bidi="ar-SA"/>
              </w:rPr>
              <w:t>珠海市妇幼保健院后勤物资（窗帘、床帘）年度服务商采购项目</w:t>
            </w:r>
          </w:p>
          <w:p w14:paraId="2B8395C0">
            <w:pPr>
              <w:pStyle w:val="6"/>
              <w:rPr>
                <w:rFonts w:hint="default" w:eastAsia="仿宋" w:cs="宋体"/>
                <w:b/>
                <w:sz w:val="28"/>
                <w:szCs w:val="28"/>
                <w:u w:val="single"/>
                <w:lang w:val="en-US" w:eastAsia="zh-CN"/>
              </w:rPr>
            </w:pPr>
            <w:r>
              <w:rPr>
                <w:rFonts w:hint="eastAsia" w:cs="宋体"/>
                <w:b/>
                <w:sz w:val="28"/>
                <w:szCs w:val="28"/>
              </w:rPr>
              <w:t>（二）项目内容：</w:t>
            </w:r>
            <w:r>
              <w:rPr>
                <w:rFonts w:hint="eastAsia" w:ascii="仿宋" w:hAnsi="仿宋" w:eastAsia="仿宋"/>
                <w:sz w:val="28"/>
                <w:szCs w:val="28"/>
              </w:rPr>
              <w:t>后勤物资</w:t>
            </w:r>
          </w:p>
          <w:p w14:paraId="526064B5">
            <w:pPr>
              <w:widowControl/>
              <w:spacing w:line="560" w:lineRule="exact"/>
              <w:rPr>
                <w:rFonts w:hint="eastAsia" w:ascii="仿宋" w:hAnsi="仿宋" w:eastAsia="仿宋" w:cs="宋体"/>
                <w:kern w:val="0"/>
                <w:sz w:val="32"/>
                <w:szCs w:val="32"/>
                <w:highlight w:val="none"/>
              </w:rPr>
            </w:pPr>
            <w:r>
              <w:rPr>
                <w:rFonts w:hint="eastAsia" w:cs="宋体"/>
                <w:b/>
                <w:sz w:val="28"/>
                <w:szCs w:val="28"/>
              </w:rPr>
              <w:t>（三）项目预算：</w:t>
            </w:r>
            <w:r>
              <w:rPr>
                <w:rFonts w:hint="eastAsia" w:ascii="仿宋" w:hAnsi="仿宋" w:eastAsia="仿宋" w:cs="宋体"/>
                <w:kern w:val="0"/>
                <w:sz w:val="32"/>
                <w:szCs w:val="32"/>
                <w:highlight w:val="none"/>
              </w:rPr>
              <w:t>总预算为</w:t>
            </w:r>
            <w:r>
              <w:rPr>
                <w:rFonts w:hint="eastAsia" w:cs="宋体"/>
                <w:kern w:val="0"/>
                <w:sz w:val="32"/>
                <w:szCs w:val="32"/>
                <w:highlight w:val="none"/>
                <w:lang w:val="en-US" w:eastAsia="zh-CN"/>
              </w:rPr>
              <w:t>8.2万</w:t>
            </w:r>
            <w:r>
              <w:rPr>
                <w:rFonts w:hint="eastAsia" w:ascii="仿宋" w:hAnsi="仿宋" w:eastAsia="仿宋" w:cs="宋体"/>
                <w:kern w:val="0"/>
                <w:sz w:val="32"/>
                <w:szCs w:val="32"/>
                <w:highlight w:val="none"/>
              </w:rPr>
              <w:t>元，采购</w:t>
            </w:r>
            <w:r>
              <w:rPr>
                <w:rFonts w:hint="eastAsia" w:cs="宋体"/>
                <w:kern w:val="0"/>
                <w:sz w:val="32"/>
                <w:szCs w:val="32"/>
                <w:highlight w:val="none"/>
                <w:lang w:val="en-US" w:eastAsia="zh-CN"/>
              </w:rPr>
              <w:t>两</w:t>
            </w:r>
            <w:r>
              <w:rPr>
                <w:rFonts w:hint="eastAsia" w:ascii="仿宋" w:hAnsi="仿宋" w:eastAsia="仿宋" w:cs="宋体"/>
                <w:kern w:val="0"/>
                <w:sz w:val="32"/>
                <w:szCs w:val="32"/>
                <w:highlight w:val="none"/>
              </w:rPr>
              <w:t>年，</w:t>
            </w:r>
            <w:r>
              <w:rPr>
                <w:rFonts w:hint="eastAsia" w:cs="宋体"/>
                <w:kern w:val="0"/>
                <w:sz w:val="32"/>
                <w:szCs w:val="32"/>
                <w:highlight w:val="none"/>
                <w:lang w:val="en-US" w:eastAsia="zh-CN"/>
              </w:rPr>
              <w:t>4.1万</w:t>
            </w:r>
            <w:r>
              <w:rPr>
                <w:rFonts w:hint="eastAsia" w:ascii="仿宋" w:hAnsi="仿宋" w:eastAsia="仿宋" w:cs="宋体"/>
                <w:kern w:val="0"/>
                <w:sz w:val="32"/>
                <w:szCs w:val="32"/>
                <w:highlight w:val="none"/>
              </w:rPr>
              <w:t>元/年</w:t>
            </w:r>
          </w:p>
          <w:p w14:paraId="1E2DB50F">
            <w:pPr>
              <w:widowControl/>
              <w:spacing w:line="560" w:lineRule="exact"/>
              <w:rPr>
                <w:rFonts w:ascii="仿宋_GB2312" w:hAnsi="宋体" w:eastAsia="仿宋_GB2312" w:cs="宋体"/>
                <w:spacing w:val="-20"/>
                <w:sz w:val="28"/>
                <w:szCs w:val="28"/>
                <w:u w:val="single"/>
              </w:rPr>
            </w:pPr>
            <w:r>
              <w:rPr>
                <w:rFonts w:hint="eastAsia" w:ascii="仿宋_GB2312" w:hAnsi="宋体" w:eastAsia="仿宋_GB2312" w:cs="宋体"/>
                <w:b/>
                <w:sz w:val="28"/>
                <w:szCs w:val="28"/>
              </w:rPr>
              <w:t>（四）预算依据（附资料）：</w:t>
            </w:r>
            <w:r>
              <w:rPr>
                <w:rFonts w:ascii="仿宋_GB2312" w:hAnsi="宋体" w:eastAsia="仿宋_GB2312" w:cs="宋体"/>
                <w:sz w:val="28"/>
                <w:szCs w:val="28"/>
              </w:rPr>
              <w:sym w:font="Wingdings 2" w:char="0052"/>
            </w:r>
            <w:r>
              <w:rPr>
                <w:rFonts w:hint="eastAsia" w:ascii="仿宋_GB2312" w:hAnsi="宋体" w:eastAsia="仿宋_GB2312" w:cs="宋体"/>
                <w:sz w:val="28"/>
                <w:szCs w:val="28"/>
              </w:rPr>
              <w:t>市场询价（询价方式：公司报价、同类产品近三年周边城市成交价；请提供询价记录表）</w:t>
            </w:r>
            <w:r>
              <w:rPr>
                <w:rFonts w:ascii="仿宋_GB2312" w:hAnsi="宋体" w:eastAsia="仿宋_GB2312" w:cs="宋体"/>
                <w:sz w:val="28"/>
                <w:szCs w:val="28"/>
              </w:rPr>
              <w:t>/</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平台询价</w:t>
            </w:r>
            <w:r>
              <w:rPr>
                <w:rFonts w:ascii="仿宋_GB2312" w:hAnsi="宋体" w:eastAsia="仿宋_GB2312" w:cs="宋体"/>
                <w:sz w:val="28"/>
                <w:szCs w:val="28"/>
              </w:rPr>
              <w:t xml:space="preserve"> /</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工程造价</w:t>
            </w:r>
            <w:r>
              <w:rPr>
                <w:rFonts w:ascii="仿宋_GB2312" w:hAnsi="宋体" w:eastAsia="仿宋_GB2312" w:cs="宋体"/>
                <w:sz w:val="28"/>
                <w:szCs w:val="28"/>
              </w:rPr>
              <w:t>/</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其他：公开市场调研询价</w:t>
            </w:r>
          </w:p>
          <w:p w14:paraId="5A87CDB3">
            <w:pPr>
              <w:widowControl/>
              <w:spacing w:line="560" w:lineRule="exact"/>
              <w:rPr>
                <w:rFonts w:ascii="仿宋" w:hAnsi="仿宋" w:eastAsia="仿宋" w:cs="宋体"/>
                <w:sz w:val="28"/>
                <w:szCs w:val="28"/>
                <w:u w:val="single"/>
              </w:rPr>
            </w:pPr>
            <w:r>
              <w:rPr>
                <w:rFonts w:hint="eastAsia" w:ascii="仿宋" w:hAnsi="仿宋" w:eastAsia="仿宋" w:cs="宋体"/>
                <w:b/>
                <w:sz w:val="28"/>
                <w:szCs w:val="28"/>
              </w:rPr>
              <w:t>（五）资金性质：</w:t>
            </w:r>
            <w:r>
              <w:rPr>
                <w:rFonts w:ascii="仿宋" w:hAnsi="仿宋" w:eastAsia="仿宋" w:cs="宋体"/>
                <w:sz w:val="28"/>
                <w:szCs w:val="28"/>
              </w:rPr>
              <w:sym w:font="Wingdings 2" w:char="00A3"/>
            </w:r>
            <w:r>
              <w:rPr>
                <w:rFonts w:hint="eastAsia" w:ascii="仿宋" w:hAnsi="仿宋" w:eastAsia="仿宋" w:cs="宋体"/>
                <w:sz w:val="28"/>
                <w:szCs w:val="28"/>
              </w:rPr>
              <w:t>财政资金</w:t>
            </w:r>
            <w:r>
              <w:rPr>
                <w:rFonts w:ascii="仿宋" w:hAnsi="仿宋" w:eastAsia="仿宋" w:cs="宋体"/>
                <w:sz w:val="28"/>
                <w:szCs w:val="28"/>
              </w:rPr>
              <w:t>/</w:t>
            </w:r>
            <w:r>
              <w:rPr>
                <w:rFonts w:ascii="仿宋" w:hAnsi="仿宋" w:eastAsia="仿宋" w:cs="宋体"/>
                <w:sz w:val="28"/>
                <w:szCs w:val="28"/>
              </w:rPr>
              <w:sym w:font="Wingdings 2" w:char="0052"/>
            </w:r>
            <w:r>
              <w:rPr>
                <w:rFonts w:hint="eastAsia" w:ascii="仿宋" w:hAnsi="仿宋" w:eastAsia="仿宋" w:cs="宋体"/>
                <w:sz w:val="28"/>
                <w:szCs w:val="28"/>
              </w:rPr>
              <w:t>医院自筹资金</w:t>
            </w:r>
            <w:r>
              <w:rPr>
                <w:rFonts w:ascii="仿宋" w:hAnsi="仿宋" w:eastAsia="仿宋" w:cs="宋体"/>
                <w:sz w:val="28"/>
                <w:szCs w:val="28"/>
              </w:rPr>
              <w:t>/</w:t>
            </w:r>
            <w:r>
              <w:rPr>
                <w:rFonts w:ascii="仿宋" w:hAnsi="仿宋" w:eastAsia="仿宋" w:cs="宋体"/>
                <w:sz w:val="28"/>
                <w:szCs w:val="28"/>
              </w:rPr>
              <w:sym w:font="Wingdings 2" w:char="00A3"/>
            </w:r>
            <w:r>
              <w:rPr>
                <w:rFonts w:hint="eastAsia" w:ascii="仿宋" w:hAnsi="仿宋" w:eastAsia="仿宋" w:cs="宋体"/>
                <w:sz w:val="28"/>
                <w:szCs w:val="28"/>
              </w:rPr>
              <w:t>其他：部分自筹部分财政</w:t>
            </w:r>
            <w:r>
              <w:rPr>
                <w:rFonts w:ascii="仿宋" w:hAnsi="仿宋" w:eastAsia="仿宋" w:cs="宋体"/>
                <w:sz w:val="28"/>
                <w:szCs w:val="28"/>
              </w:rPr>
              <w:t xml:space="preserve"> </w:t>
            </w:r>
            <w:r>
              <w:rPr>
                <w:rFonts w:hint="eastAsia" w:ascii="仿宋" w:hAnsi="仿宋" w:eastAsia="仿宋" w:cs="宋体"/>
                <w:sz w:val="28"/>
                <w:szCs w:val="28"/>
              </w:rPr>
              <w:t>，资金占比：财政资金占</w:t>
            </w:r>
            <w:r>
              <w:rPr>
                <w:rFonts w:ascii="仿宋" w:hAnsi="仿宋" w:eastAsia="仿宋" w:cs="宋体"/>
                <w:sz w:val="28"/>
                <w:szCs w:val="28"/>
                <w:u w:val="single"/>
              </w:rPr>
              <w:t xml:space="preserve">  %</w:t>
            </w:r>
          </w:p>
          <w:p w14:paraId="26EB3049">
            <w:pPr>
              <w:widowControl/>
              <w:spacing w:line="560" w:lineRule="exact"/>
              <w:rPr>
                <w:rFonts w:cs="宋体"/>
                <w:sz w:val="28"/>
                <w:szCs w:val="28"/>
                <w:u w:val="single"/>
              </w:rPr>
            </w:pPr>
            <w:r>
              <w:rPr>
                <w:rFonts w:hint="eastAsia" w:ascii="仿宋" w:hAnsi="仿宋" w:eastAsia="仿宋" w:cs="宋体"/>
                <w:b/>
                <w:sz w:val="28"/>
                <w:szCs w:val="28"/>
              </w:rPr>
              <w:t>（六）预算情况：</w:t>
            </w:r>
            <w:r>
              <w:rPr>
                <w:rFonts w:ascii="Segoe UI Symbol" w:hAnsi="Segoe UI Symbol" w:cs="Segoe UI Symbol"/>
                <w:sz w:val="28"/>
                <w:szCs w:val="28"/>
              </w:rPr>
              <w:t>☑</w:t>
            </w:r>
            <w:r>
              <w:rPr>
                <w:rFonts w:hint="eastAsia" w:ascii="仿宋" w:hAnsi="仿宋" w:eastAsia="仿宋" w:cs="宋体"/>
                <w:sz w:val="28"/>
                <w:szCs w:val="28"/>
              </w:rPr>
              <w:t>预算内</w:t>
            </w:r>
            <w:r>
              <w:rPr>
                <w:rFonts w:hint="eastAsia" w:ascii="仿宋" w:hAnsi="仿宋" w:eastAsia="仿宋" w:cs="宋体"/>
                <w:spacing w:val="-20"/>
                <w:sz w:val="28"/>
                <w:szCs w:val="28"/>
              </w:rPr>
              <w:t>：医院年度计</w:t>
            </w:r>
            <w:r>
              <w:rPr>
                <w:rFonts w:hint="eastAsia" w:cs="宋体"/>
                <w:spacing w:val="-20"/>
                <w:sz w:val="28"/>
                <w:szCs w:val="28"/>
              </w:rPr>
              <w:t>划（计划名称：日用日杂类</w:t>
            </w:r>
            <w:r>
              <w:rPr>
                <w:rFonts w:hint="eastAsia" w:cs="宋体"/>
                <w:spacing w:val="-20"/>
                <w:sz w:val="28"/>
                <w:szCs w:val="28"/>
                <w:highlight w:val="none"/>
              </w:rPr>
              <w:t>）</w:t>
            </w:r>
            <w:r>
              <w:rPr>
                <w:rFonts w:cs="宋体"/>
                <w:sz w:val="28"/>
                <w:szCs w:val="28"/>
              </w:rPr>
              <w:t>/</w:t>
            </w:r>
            <w:r>
              <w:rPr>
                <w:rFonts w:cs="宋体"/>
                <w:sz w:val="28"/>
                <w:szCs w:val="28"/>
              </w:rPr>
              <w:sym w:font="Wingdings 2" w:char="00A3"/>
            </w:r>
            <w:r>
              <w:rPr>
                <w:rFonts w:cs="宋体"/>
                <w:sz w:val="28"/>
                <w:szCs w:val="28"/>
              </w:rPr>
              <w:t>预算外/</w:t>
            </w:r>
            <w:r>
              <w:rPr>
                <w:rFonts w:cs="宋体"/>
                <w:spacing w:val="-20"/>
                <w:sz w:val="28"/>
                <w:szCs w:val="28"/>
              </w:rPr>
              <w:t>□其他</w:t>
            </w:r>
            <w:r>
              <w:rPr>
                <w:rFonts w:hint="eastAsia" w:cs="宋体"/>
                <w:spacing w:val="-20"/>
                <w:sz w:val="28"/>
                <w:szCs w:val="28"/>
              </w:rPr>
              <w:t>：</w:t>
            </w:r>
            <w:r>
              <w:rPr>
                <w:rFonts w:cs="宋体"/>
                <w:spacing w:val="-20"/>
                <w:sz w:val="28"/>
                <w:szCs w:val="28"/>
                <w:u w:val="single"/>
              </w:rPr>
              <w:t xml:space="preserve">        </w:t>
            </w:r>
          </w:p>
          <w:p w14:paraId="36C3F51F">
            <w:pPr>
              <w:widowControl/>
              <w:spacing w:line="560" w:lineRule="exact"/>
              <w:rPr>
                <w:rFonts w:ascii="仿宋_GB2312" w:hAnsi="宋体" w:eastAsia="仿宋_GB2312" w:cs="宋体"/>
                <w:sz w:val="32"/>
                <w:szCs w:val="32"/>
              </w:rPr>
            </w:pPr>
            <w:r>
              <w:rPr>
                <w:rFonts w:hint="eastAsia" w:ascii="仿宋" w:hAnsi="仿宋" w:eastAsia="仿宋" w:cs="宋体"/>
                <w:b/>
                <w:sz w:val="28"/>
                <w:szCs w:val="28"/>
              </w:rPr>
              <w:t>（七）院内审批情况（</w:t>
            </w:r>
            <w:r>
              <w:rPr>
                <w:rFonts w:hint="eastAsia" w:ascii="仿宋" w:hAnsi="仿宋" w:eastAsia="仿宋" w:cs="宋体"/>
                <w:sz w:val="28"/>
                <w:szCs w:val="28"/>
              </w:rPr>
              <w:t>如属于年度计划内且已明确项目内容及预算，并没有调整的，提供年度计划过会纪要即可）</w:t>
            </w:r>
            <w:r>
              <w:rPr>
                <w:rFonts w:hint="eastAsia" w:ascii="仿宋" w:hAnsi="仿宋" w:eastAsia="仿宋" w:cs="宋体"/>
                <w:b/>
                <w:sz w:val="28"/>
                <w:szCs w:val="28"/>
              </w:rPr>
              <w:t>：</w:t>
            </w:r>
            <w:r>
              <w:rPr>
                <w:rFonts w:ascii="仿宋" w:hAnsi="仿宋" w:eastAsia="仿宋" w:cs="宋体"/>
                <w:sz w:val="28"/>
                <w:szCs w:val="28"/>
              </w:rPr>
              <w:sym w:font="Wingdings 2" w:char="0052"/>
            </w:r>
            <w:r>
              <w:rPr>
                <w:rFonts w:ascii="仿宋" w:hAnsi="仿宋" w:eastAsia="仿宋" w:cs="宋体"/>
                <w:sz w:val="28"/>
                <w:szCs w:val="28"/>
              </w:rPr>
              <w:t>OA申请审批/</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，通过院长办公会情况</w:t>
            </w:r>
            <w:r>
              <w:rPr>
                <w:rFonts w:ascii="仿宋" w:hAnsi="仿宋" w:eastAsia="仿宋" w:cs="宋体"/>
                <w:sz w:val="28"/>
                <w:szCs w:val="28"/>
              </w:rPr>
              <w:t>/</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w:t>
            </w:r>
            <w:r>
              <w:rPr>
                <w:rFonts w:ascii="仿宋" w:hAnsi="仿宋" w:eastAsia="仿宋" w:cs="宋体"/>
                <w:sz w:val="28"/>
                <w:szCs w:val="28"/>
              </w:rPr>
              <w:t>通过院党委会/</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w:t>
            </w:r>
            <w:r>
              <w:rPr>
                <w:rFonts w:ascii="仿宋" w:hAnsi="仿宋" w:eastAsia="仿宋" w:cs="宋体"/>
                <w:sz w:val="28"/>
                <w:szCs w:val="28"/>
              </w:rPr>
              <w:t>通过院</w:t>
            </w:r>
            <w:r>
              <w:rPr>
                <w:rFonts w:hint="eastAsia" w:ascii="仿宋" w:hAnsi="仿宋" w:eastAsia="仿宋" w:cs="宋体"/>
                <w:sz w:val="28"/>
                <w:szCs w:val="28"/>
              </w:rPr>
              <w:t>职工</w:t>
            </w:r>
            <w:r>
              <w:rPr>
                <w:rFonts w:ascii="仿宋" w:hAnsi="仿宋" w:eastAsia="仿宋" w:cs="宋体"/>
                <w:sz w:val="28"/>
                <w:szCs w:val="28"/>
              </w:rPr>
              <w:t>代表大会情况/</w:t>
            </w:r>
            <w:r>
              <w:rPr>
                <w:rFonts w:ascii="仿宋" w:hAnsi="仿宋" w:eastAsia="仿宋" w:cs="宋体"/>
                <w:sz w:val="28"/>
                <w:szCs w:val="28"/>
              </w:rPr>
              <w:sym w:font="Wingdings 2" w:char="00A3"/>
            </w:r>
            <w:r>
              <w:rPr>
                <w:rFonts w:ascii="仿宋" w:hAnsi="仿宋" w:eastAsia="仿宋" w:cs="宋体"/>
                <w:sz w:val="28"/>
                <w:szCs w:val="28"/>
              </w:rPr>
              <w:t>无需过会</w:t>
            </w:r>
            <w:r>
              <w:rPr>
                <w:rFonts w:hint="eastAsia" w:ascii="仿宋" w:hAnsi="仿宋" w:eastAsia="仿宋" w:cs="宋体"/>
                <w:sz w:val="28"/>
                <w:szCs w:val="28"/>
              </w:rPr>
              <w:t>，</w:t>
            </w:r>
            <w:r>
              <w:rPr>
                <w:rFonts w:ascii="仿宋" w:hAnsi="仿宋" w:eastAsia="仿宋" w:cs="宋体"/>
                <w:sz w:val="28"/>
                <w:szCs w:val="28"/>
              </w:rPr>
              <w:t>原因</w:t>
            </w:r>
            <w:r>
              <w:rPr>
                <w:rFonts w:hint="eastAsia" w:ascii="仿宋" w:hAnsi="仿宋" w:eastAsia="仿宋" w:cs="宋体"/>
                <w:sz w:val="28"/>
                <w:szCs w:val="28"/>
              </w:rPr>
              <w:t>：预算金额未达到“三重一大”上会限额（如为其他原因可注明）</w:t>
            </w:r>
          </w:p>
        </w:tc>
      </w:tr>
      <w:tr w14:paraId="50093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994" w:type="dxa"/>
            <w:vMerge w:val="restart"/>
          </w:tcPr>
          <w:p w14:paraId="7F4A3F64">
            <w:pPr>
              <w:pStyle w:val="20"/>
              <w:rPr>
                <w:sz w:val="28"/>
              </w:rPr>
            </w:pPr>
          </w:p>
          <w:p w14:paraId="5E6EDA49">
            <w:pPr>
              <w:pStyle w:val="20"/>
              <w:rPr>
                <w:sz w:val="28"/>
              </w:rPr>
            </w:pPr>
          </w:p>
          <w:p w14:paraId="5DB8FF34">
            <w:pPr>
              <w:pStyle w:val="20"/>
              <w:rPr>
                <w:sz w:val="28"/>
              </w:rPr>
            </w:pPr>
          </w:p>
          <w:p w14:paraId="1D23622F">
            <w:pPr>
              <w:pStyle w:val="20"/>
              <w:rPr>
                <w:sz w:val="28"/>
              </w:rPr>
            </w:pPr>
          </w:p>
          <w:p w14:paraId="717A54F3">
            <w:pPr>
              <w:pStyle w:val="20"/>
              <w:rPr>
                <w:sz w:val="28"/>
              </w:rPr>
            </w:pPr>
          </w:p>
          <w:p w14:paraId="7D19F119">
            <w:pPr>
              <w:pStyle w:val="20"/>
              <w:rPr>
                <w:sz w:val="28"/>
              </w:rPr>
            </w:pPr>
          </w:p>
          <w:p w14:paraId="674351FA">
            <w:pPr>
              <w:pStyle w:val="20"/>
              <w:rPr>
                <w:sz w:val="28"/>
              </w:rPr>
            </w:pPr>
          </w:p>
          <w:p w14:paraId="1CACD471">
            <w:pPr>
              <w:pStyle w:val="20"/>
              <w:rPr>
                <w:sz w:val="28"/>
              </w:rPr>
            </w:pPr>
          </w:p>
          <w:p w14:paraId="2D5EA6C1">
            <w:pPr>
              <w:pStyle w:val="20"/>
              <w:spacing w:before="1"/>
              <w:rPr>
                <w:sz w:val="30"/>
              </w:rPr>
            </w:pPr>
          </w:p>
          <w:p w14:paraId="232FFA54">
            <w:pPr>
              <w:pStyle w:val="20"/>
              <w:spacing w:line="417" w:lineRule="auto"/>
              <w:ind w:left="367" w:right="356"/>
              <w:jc w:val="both"/>
              <w:rPr>
                <w:b/>
                <w:sz w:val="28"/>
              </w:rPr>
            </w:pPr>
            <w:r>
              <w:rPr>
                <w:b/>
                <w:sz w:val="28"/>
              </w:rPr>
              <w:t>采购需求</w:t>
            </w:r>
          </w:p>
        </w:tc>
        <w:tc>
          <w:tcPr>
            <w:tcW w:w="885" w:type="dxa"/>
          </w:tcPr>
          <w:p w14:paraId="02A3358C">
            <w:pPr>
              <w:pStyle w:val="20"/>
              <w:rPr>
                <w:sz w:val="28"/>
              </w:rPr>
            </w:pPr>
          </w:p>
          <w:p w14:paraId="4A49E4D8">
            <w:pPr>
              <w:pStyle w:val="20"/>
              <w:rPr>
                <w:sz w:val="28"/>
              </w:rPr>
            </w:pPr>
          </w:p>
          <w:p w14:paraId="0FDD1A06">
            <w:pPr>
              <w:pStyle w:val="20"/>
              <w:rPr>
                <w:sz w:val="28"/>
              </w:rPr>
            </w:pPr>
          </w:p>
          <w:p w14:paraId="303C23B5">
            <w:pPr>
              <w:pStyle w:val="20"/>
              <w:rPr>
                <w:sz w:val="28"/>
              </w:rPr>
            </w:pPr>
          </w:p>
          <w:p w14:paraId="0E32B431">
            <w:pPr>
              <w:pStyle w:val="20"/>
              <w:spacing w:before="239" w:line="417" w:lineRule="auto"/>
              <w:ind w:left="226" w:right="217"/>
              <w:rPr>
                <w:b/>
                <w:sz w:val="28"/>
              </w:rPr>
            </w:pPr>
            <w:r>
              <w:rPr>
                <w:b/>
                <w:sz w:val="28"/>
              </w:rPr>
              <w:t>技术部分</w:t>
            </w:r>
          </w:p>
        </w:tc>
        <w:tc>
          <w:tcPr>
            <w:tcW w:w="8852" w:type="dxa"/>
          </w:tcPr>
          <w:p w14:paraId="4A3782AF">
            <w:pPr>
              <w:spacing w:line="560" w:lineRule="exact"/>
              <w:rPr>
                <w:rFonts w:cs="宋体"/>
                <w:b/>
                <w:sz w:val="28"/>
                <w:szCs w:val="28"/>
              </w:rPr>
            </w:pPr>
            <w:r>
              <w:rPr>
                <w:rFonts w:hint="eastAsia" w:ascii="仿宋" w:hAnsi="仿宋" w:eastAsia="仿宋" w:cs="宋体"/>
                <w:b/>
                <w:sz w:val="28"/>
                <w:szCs w:val="28"/>
              </w:rPr>
              <w:t>（一）</w:t>
            </w:r>
            <w:r>
              <w:rPr>
                <w:rFonts w:hint="eastAsia" w:cs="宋体"/>
                <w:b/>
                <w:sz w:val="28"/>
                <w:szCs w:val="28"/>
              </w:rPr>
              <w:t>参数需求：</w:t>
            </w:r>
          </w:p>
          <w:p w14:paraId="723A7D4A">
            <w:pPr>
              <w:widowControl/>
              <w:tabs>
                <w:tab w:val="left" w:pos="540"/>
              </w:tabs>
              <w:adjustRightInd w:val="0"/>
              <w:snapToGrid w:val="0"/>
              <w:spacing w:line="360" w:lineRule="auto"/>
              <w:rPr>
                <w:rFonts w:cs="宋体"/>
                <w:b/>
                <w:sz w:val="28"/>
                <w:szCs w:val="28"/>
              </w:rPr>
            </w:pPr>
          </w:p>
          <w:p w14:paraId="23F6DBDD">
            <w:pPr>
              <w:widowControl/>
              <w:numPr>
                <w:ilvl w:val="0"/>
                <w:numId w:val="1"/>
              </w:numPr>
              <w:tabs>
                <w:tab w:val="left" w:pos="540"/>
                <w:tab w:val="clear" w:pos="312"/>
              </w:tabs>
              <w:adjustRightInd w:val="0"/>
              <w:snapToGrid w:val="0"/>
              <w:spacing w:line="360" w:lineRule="auto"/>
              <w:rPr>
                <w:rFonts w:cs="宋体"/>
                <w:b/>
                <w:sz w:val="28"/>
                <w:szCs w:val="28"/>
              </w:rPr>
            </w:pPr>
            <w:r>
              <w:rPr>
                <w:rFonts w:cs="宋体"/>
                <w:b/>
                <w:sz w:val="28"/>
                <w:szCs w:val="28"/>
              </w:rPr>
              <w:t>货物清单：</w:t>
            </w:r>
          </w:p>
          <w:p w14:paraId="19A1ACA6">
            <w:pPr>
              <w:widowControl/>
              <w:tabs>
                <w:tab w:val="left" w:pos="540"/>
              </w:tabs>
              <w:adjustRightInd w:val="0"/>
              <w:snapToGrid w:val="0"/>
              <w:spacing w:line="360" w:lineRule="auto"/>
              <w:rPr>
                <w:rFonts w:hint="eastAsia" w:cs="宋体"/>
                <w:sz w:val="28"/>
                <w:szCs w:val="28"/>
              </w:rPr>
            </w:pPr>
          </w:p>
          <w:tbl>
            <w:tblPr>
              <w:tblStyle w:val="15"/>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4"/>
              <w:gridCol w:w="1203"/>
              <w:gridCol w:w="3141"/>
              <w:gridCol w:w="759"/>
              <w:gridCol w:w="1359"/>
              <w:gridCol w:w="2001"/>
            </w:tblGrid>
            <w:tr w14:paraId="6F47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924" w:type="dxa"/>
                  <w:shd w:val="clear" w:color="auto" w:fill="auto"/>
                  <w:vAlign w:val="center"/>
                </w:tcPr>
                <w:p w14:paraId="3DEE73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b/>
                      <w:bCs/>
                      <w:color w:val="auto"/>
                      <w:kern w:val="2"/>
                      <w:sz w:val="21"/>
                      <w:szCs w:val="21"/>
                      <w:highlight w:val="none"/>
                      <w:u w:val="none"/>
                      <w:lang w:val="en-US" w:eastAsia="zh-CN" w:bidi="ar"/>
                    </w:rPr>
                    <w:t xml:space="preserve"> 序号</w:t>
                  </w:r>
                </w:p>
              </w:tc>
              <w:tc>
                <w:tcPr>
                  <w:tcW w:w="1203" w:type="dxa"/>
                  <w:shd w:val="clear" w:color="auto" w:fill="auto"/>
                  <w:vAlign w:val="center"/>
                </w:tcPr>
                <w:p w14:paraId="33F240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b/>
                      <w:bCs/>
                      <w:color w:val="auto"/>
                      <w:kern w:val="2"/>
                      <w:sz w:val="21"/>
                      <w:szCs w:val="21"/>
                      <w:highlight w:val="none"/>
                      <w:u w:val="none"/>
                      <w:lang w:val="en-US" w:eastAsia="zh-CN" w:bidi="ar"/>
                    </w:rPr>
                    <w:t>物资名称</w:t>
                  </w:r>
                </w:p>
              </w:tc>
              <w:tc>
                <w:tcPr>
                  <w:tcW w:w="3141" w:type="dxa"/>
                  <w:shd w:val="clear" w:color="auto" w:fill="auto"/>
                  <w:vAlign w:val="center"/>
                </w:tcPr>
                <w:p w14:paraId="67A58A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b/>
                      <w:bCs/>
                      <w:color w:val="auto"/>
                      <w:kern w:val="2"/>
                      <w:sz w:val="21"/>
                      <w:szCs w:val="21"/>
                      <w:highlight w:val="none"/>
                      <w:u w:val="none"/>
                      <w:lang w:val="en-US" w:eastAsia="zh-CN" w:bidi="ar"/>
                    </w:rPr>
                    <w:t>规格参数</w:t>
                  </w:r>
                </w:p>
              </w:tc>
              <w:tc>
                <w:tcPr>
                  <w:tcW w:w="759" w:type="dxa"/>
                  <w:shd w:val="clear" w:color="auto" w:fill="auto"/>
                  <w:vAlign w:val="center"/>
                </w:tcPr>
                <w:p w14:paraId="12DF6A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b/>
                      <w:bCs/>
                      <w:color w:val="auto"/>
                      <w:kern w:val="2"/>
                      <w:sz w:val="21"/>
                      <w:szCs w:val="21"/>
                      <w:highlight w:val="none"/>
                      <w:u w:val="none"/>
                      <w:lang w:val="en-US" w:eastAsia="zh-CN" w:bidi="ar"/>
                    </w:rPr>
                    <w:t>单位</w:t>
                  </w:r>
                </w:p>
              </w:tc>
              <w:tc>
                <w:tcPr>
                  <w:tcW w:w="1359" w:type="dxa"/>
                  <w:shd w:val="clear" w:color="auto" w:fill="auto"/>
                  <w:vAlign w:val="center"/>
                </w:tcPr>
                <w:p w14:paraId="5D5CB0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hAnsi="宋体" w:cs="宋体"/>
                      <w:b/>
                      <w:bCs/>
                      <w:color w:val="auto"/>
                      <w:kern w:val="2"/>
                      <w:sz w:val="21"/>
                      <w:szCs w:val="21"/>
                      <w:highlight w:val="none"/>
                      <w:u w:val="none"/>
                      <w:lang w:val="en-US" w:eastAsia="zh-CN" w:bidi="ar"/>
                    </w:rPr>
                    <w:t>最高限价</w:t>
                  </w:r>
                  <w:r>
                    <w:rPr>
                      <w:rFonts w:hint="eastAsia" w:ascii="宋体" w:hAnsi="宋体" w:eastAsia="宋体" w:cs="宋体"/>
                      <w:b/>
                      <w:bCs/>
                      <w:color w:val="auto"/>
                      <w:kern w:val="2"/>
                      <w:sz w:val="21"/>
                      <w:szCs w:val="21"/>
                      <w:highlight w:val="none"/>
                      <w:u w:val="none"/>
                      <w:lang w:val="en-US" w:eastAsia="zh-CN" w:bidi="ar"/>
                    </w:rPr>
                    <w:t>（单位：元）</w:t>
                  </w:r>
                </w:p>
              </w:tc>
              <w:tc>
                <w:tcPr>
                  <w:tcW w:w="2001" w:type="dxa"/>
                  <w:shd w:val="clear" w:color="auto" w:fill="auto"/>
                  <w:vAlign w:val="center"/>
                </w:tcPr>
                <w:p w14:paraId="083288B8">
                  <w:pPr>
                    <w:keepNext w:val="0"/>
                    <w:keepLines w:val="0"/>
                    <w:widowControl/>
                    <w:suppressLineNumbers w:val="0"/>
                    <w:jc w:val="both"/>
                    <w:textAlignment w:val="center"/>
                    <w:rPr>
                      <w:rFonts w:hint="default" w:ascii="宋体" w:hAnsi="宋体" w:eastAsia="宋体" w:cs="宋体"/>
                      <w:b/>
                      <w:bCs/>
                      <w:color w:val="auto"/>
                      <w:kern w:val="2"/>
                      <w:sz w:val="21"/>
                      <w:szCs w:val="21"/>
                      <w:highlight w:val="none"/>
                      <w:u w:val="none"/>
                      <w:lang w:val="en-US" w:eastAsia="zh-CN" w:bidi="ar"/>
                    </w:rPr>
                  </w:pPr>
                  <w:r>
                    <w:rPr>
                      <w:rFonts w:hint="eastAsia" w:ascii="宋体" w:hAnsi="宋体" w:eastAsia="宋体" w:cs="宋体"/>
                      <w:b/>
                      <w:bCs/>
                      <w:color w:val="auto"/>
                      <w:kern w:val="2"/>
                      <w:sz w:val="21"/>
                      <w:szCs w:val="21"/>
                      <w:highlight w:val="none"/>
                      <w:u w:val="none"/>
                      <w:lang w:val="en-US" w:eastAsia="zh-CN" w:bidi="ar"/>
                    </w:rPr>
                    <w:t>年预估使用量</w:t>
                  </w:r>
                </w:p>
              </w:tc>
            </w:tr>
            <w:tr w14:paraId="5B55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jc w:val="center"/>
              </w:trPr>
              <w:tc>
                <w:tcPr>
                  <w:tcW w:w="924" w:type="dxa"/>
                  <w:shd w:val="clear" w:color="auto" w:fill="auto"/>
                  <w:vAlign w:val="center"/>
                </w:tcPr>
                <w:p w14:paraId="2626E4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w:t>
                  </w:r>
                </w:p>
              </w:tc>
              <w:tc>
                <w:tcPr>
                  <w:tcW w:w="1203" w:type="dxa"/>
                  <w:shd w:val="clear" w:color="auto" w:fill="auto"/>
                  <w:noWrap/>
                  <w:vAlign w:val="center"/>
                </w:tcPr>
                <w:p w14:paraId="36C4FCA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w:t>
                  </w:r>
                </w:p>
              </w:tc>
              <w:tc>
                <w:tcPr>
                  <w:tcW w:w="3141" w:type="dxa"/>
                  <w:shd w:val="clear" w:color="auto" w:fill="auto"/>
                  <w:vAlign w:val="center"/>
                </w:tcPr>
                <w:p w14:paraId="12B03C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成分</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100%涤纶</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克重(g/㎡)</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≧312g/㎡</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遮光率≥80%</w:t>
                  </w:r>
                  <w:r>
                    <w:rPr>
                      <w:rFonts w:hint="eastAsia" w:hAnsi="宋体" w:cs="宋体"/>
                      <w:i w:val="0"/>
                      <w:iCs w:val="0"/>
                      <w:color w:val="auto"/>
                      <w:kern w:val="0"/>
                      <w:sz w:val="21"/>
                      <w:szCs w:val="21"/>
                      <w:highlight w:val="none"/>
                      <w:u w:val="none"/>
                      <w:lang w:val="en-US" w:eastAsia="zh-CN" w:bidi="ar"/>
                    </w:rPr>
                    <w:t>。</w:t>
                  </w:r>
                </w:p>
              </w:tc>
              <w:tc>
                <w:tcPr>
                  <w:tcW w:w="759" w:type="dxa"/>
                  <w:shd w:val="clear" w:color="auto" w:fill="auto"/>
                  <w:noWrap/>
                  <w:vAlign w:val="center"/>
                </w:tcPr>
                <w:p w14:paraId="6DF516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359" w:type="dxa"/>
                  <w:shd w:val="clear" w:color="auto" w:fill="auto"/>
                  <w:noWrap/>
                  <w:vAlign w:val="center"/>
                </w:tcPr>
                <w:p w14:paraId="2A8B343A">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2001" w:type="dxa"/>
                  <w:shd w:val="clear" w:color="auto" w:fill="auto"/>
                  <w:vAlign w:val="center"/>
                </w:tcPr>
                <w:p w14:paraId="67F26232">
                  <w:pPr>
                    <w:keepNext w:val="0"/>
                    <w:keepLines w:val="0"/>
                    <w:widowControl/>
                    <w:suppressLineNumbers w:val="0"/>
                    <w:ind w:firstLine="660" w:firstLineChars="300"/>
                    <w:jc w:val="both"/>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000000"/>
                      <w:kern w:val="0"/>
                      <w:sz w:val="22"/>
                      <w:szCs w:val="22"/>
                      <w:u w:val="none"/>
                      <w:lang w:val="en-US" w:eastAsia="zh-CN" w:bidi="ar"/>
                    </w:rPr>
                    <w:t>200</w:t>
                  </w:r>
                </w:p>
              </w:tc>
            </w:tr>
            <w:tr w14:paraId="3CCC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0" w:hRule="atLeast"/>
                <w:jc w:val="center"/>
              </w:trPr>
              <w:tc>
                <w:tcPr>
                  <w:tcW w:w="924" w:type="dxa"/>
                  <w:shd w:val="clear" w:color="auto" w:fill="auto"/>
                  <w:vAlign w:val="center"/>
                </w:tcPr>
                <w:p w14:paraId="161FC4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03" w:type="dxa"/>
                  <w:shd w:val="clear" w:color="auto" w:fill="auto"/>
                  <w:noWrap/>
                  <w:vAlign w:val="center"/>
                </w:tcPr>
                <w:p w14:paraId="4EC437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床帘</w:t>
                  </w:r>
                </w:p>
              </w:tc>
              <w:tc>
                <w:tcPr>
                  <w:tcW w:w="3141" w:type="dxa"/>
                  <w:shd w:val="clear" w:color="auto" w:fill="auto"/>
                  <w:vAlign w:val="center"/>
                </w:tcPr>
                <w:p w14:paraId="476C2CA7">
                  <w:pPr>
                    <w:keepNext w:val="0"/>
                    <w:keepLines w:val="0"/>
                    <w:widowControl/>
                    <w:suppressLineNumbers w:val="0"/>
                    <w:spacing w:after="210" w:afterAutospacing="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成分</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100%多元酯织品；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褪色度4—5级；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网孔高度50—100</w:t>
                  </w:r>
                  <w:r>
                    <w:rPr>
                      <w:rFonts w:hint="eastAsia" w:hAnsi="宋体" w:cs="宋体"/>
                      <w:i w:val="0"/>
                      <w:iCs w:val="0"/>
                      <w:color w:val="auto"/>
                      <w:kern w:val="0"/>
                      <w:sz w:val="21"/>
                      <w:szCs w:val="21"/>
                      <w:highlight w:val="none"/>
                      <w:u w:val="none"/>
                      <w:lang w:val="en-US" w:eastAsia="zh-CN" w:bidi="ar"/>
                    </w:rPr>
                    <w:t>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克重(g/㎡)</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≧200-250g/㎡</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摩擦：5级医用撕破力；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抗菌性：细菌减少99%</w:t>
                  </w:r>
                  <w:r>
                    <w:rPr>
                      <w:rFonts w:hint="eastAsia" w:hAnsi="宋体" w:cs="宋体"/>
                      <w:i w:val="0"/>
                      <w:iCs w:val="0"/>
                      <w:color w:val="auto"/>
                      <w:kern w:val="0"/>
                      <w:sz w:val="21"/>
                      <w:szCs w:val="21"/>
                      <w:highlight w:val="none"/>
                      <w:u w:val="none"/>
                      <w:lang w:val="en-US" w:eastAsia="zh-CN" w:bidi="ar"/>
                    </w:rPr>
                    <w:t>。</w:t>
                  </w:r>
                </w:p>
              </w:tc>
              <w:tc>
                <w:tcPr>
                  <w:tcW w:w="759" w:type="dxa"/>
                  <w:shd w:val="clear" w:color="auto" w:fill="auto"/>
                  <w:noWrap/>
                  <w:vAlign w:val="center"/>
                </w:tcPr>
                <w:p w14:paraId="6D2402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359" w:type="dxa"/>
                  <w:shd w:val="clear" w:color="auto" w:fill="auto"/>
                  <w:noWrap/>
                  <w:vAlign w:val="center"/>
                </w:tcPr>
                <w:p w14:paraId="7551AA13">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42</w:t>
                  </w:r>
                </w:p>
              </w:tc>
              <w:tc>
                <w:tcPr>
                  <w:tcW w:w="2001" w:type="dxa"/>
                  <w:shd w:val="clear" w:color="auto" w:fill="auto"/>
                  <w:vAlign w:val="center"/>
                </w:tcPr>
                <w:p w14:paraId="67DB46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000000"/>
                      <w:kern w:val="0"/>
                      <w:sz w:val="22"/>
                      <w:szCs w:val="22"/>
                      <w:u w:val="none"/>
                      <w:lang w:val="en-US" w:eastAsia="zh-CN" w:bidi="ar"/>
                    </w:rPr>
                    <w:t>200</w:t>
                  </w:r>
                </w:p>
              </w:tc>
            </w:tr>
            <w:tr w14:paraId="736C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24" w:type="dxa"/>
                  <w:vMerge w:val="restart"/>
                  <w:shd w:val="clear" w:color="auto" w:fill="auto"/>
                  <w:vAlign w:val="center"/>
                </w:tcPr>
                <w:p w14:paraId="1317B0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p w14:paraId="7A58DD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p>
              </w:tc>
              <w:tc>
                <w:tcPr>
                  <w:tcW w:w="1203" w:type="dxa"/>
                  <w:vMerge w:val="restart"/>
                  <w:shd w:val="clear" w:color="auto" w:fill="auto"/>
                  <w:noWrap/>
                  <w:vAlign w:val="center"/>
                </w:tcPr>
                <w:p w14:paraId="43B47A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输液轨</w:t>
                  </w:r>
                </w:p>
              </w:tc>
              <w:tc>
                <w:tcPr>
                  <w:tcW w:w="3141" w:type="dxa"/>
                  <w:shd w:val="clear" w:color="auto" w:fill="auto"/>
                  <w:vAlign w:val="center"/>
                </w:tcPr>
                <w:p w14:paraId="5621BF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U型加宽加厚</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铝材1.2mm，可塑性强</w:t>
                  </w:r>
                </w:p>
              </w:tc>
              <w:tc>
                <w:tcPr>
                  <w:tcW w:w="759" w:type="dxa"/>
                  <w:shd w:val="clear" w:color="auto" w:fill="auto"/>
                  <w:noWrap/>
                  <w:vAlign w:val="center"/>
                </w:tcPr>
                <w:p w14:paraId="762EFA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359" w:type="dxa"/>
                  <w:shd w:val="clear" w:color="auto" w:fill="auto"/>
                  <w:noWrap/>
                  <w:vAlign w:val="center"/>
                </w:tcPr>
                <w:p w14:paraId="03215E5C">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47</w:t>
                  </w:r>
                </w:p>
              </w:tc>
              <w:tc>
                <w:tcPr>
                  <w:tcW w:w="2001" w:type="dxa"/>
                  <w:vMerge w:val="restart"/>
                  <w:shd w:val="clear" w:color="auto" w:fill="auto"/>
                  <w:vAlign w:val="center"/>
                </w:tcPr>
                <w:p w14:paraId="72A207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000000"/>
                      <w:kern w:val="0"/>
                      <w:sz w:val="22"/>
                      <w:szCs w:val="22"/>
                      <w:u w:val="none"/>
                      <w:lang w:val="en-US" w:eastAsia="zh-CN" w:bidi="ar"/>
                    </w:rPr>
                    <w:t>200</w:t>
                  </w:r>
                </w:p>
              </w:tc>
            </w:tr>
            <w:tr w14:paraId="7632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24" w:type="dxa"/>
                  <w:vMerge w:val="continue"/>
                  <w:shd w:val="clear" w:color="auto" w:fill="auto"/>
                  <w:vAlign w:val="center"/>
                </w:tcPr>
                <w:p w14:paraId="324A09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p>
              </w:tc>
              <w:tc>
                <w:tcPr>
                  <w:tcW w:w="1203" w:type="dxa"/>
                  <w:vMerge w:val="continue"/>
                  <w:shd w:val="clear" w:color="auto" w:fill="auto"/>
                  <w:noWrap/>
                  <w:vAlign w:val="center"/>
                </w:tcPr>
                <w:p w14:paraId="37A0F3AE">
                  <w:pPr>
                    <w:jc w:val="center"/>
                    <w:rPr>
                      <w:rFonts w:hint="eastAsia" w:ascii="宋体" w:hAnsi="宋体" w:eastAsia="宋体" w:cs="宋体"/>
                      <w:i w:val="0"/>
                      <w:iCs w:val="0"/>
                      <w:color w:val="auto"/>
                      <w:kern w:val="2"/>
                      <w:sz w:val="21"/>
                      <w:szCs w:val="21"/>
                      <w:highlight w:val="none"/>
                      <w:u w:val="none"/>
                    </w:rPr>
                  </w:pPr>
                </w:p>
              </w:tc>
              <w:tc>
                <w:tcPr>
                  <w:tcW w:w="3141" w:type="dxa"/>
                  <w:shd w:val="clear" w:color="auto" w:fill="auto"/>
                  <w:vAlign w:val="center"/>
                </w:tcPr>
                <w:p w14:paraId="4C0290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四轮滑车为钢滑轮/锌合</w:t>
                  </w:r>
                </w:p>
                <w:p w14:paraId="4167EB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金滑轮</w:t>
                  </w:r>
                </w:p>
                <w:p w14:paraId="19FE1A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p>
              </w:tc>
              <w:tc>
                <w:tcPr>
                  <w:tcW w:w="759" w:type="dxa"/>
                  <w:shd w:val="clear" w:color="auto" w:fill="auto"/>
                  <w:noWrap/>
                  <w:vAlign w:val="center"/>
                </w:tcPr>
                <w:p w14:paraId="679F4F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p w14:paraId="3155A9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p>
              </w:tc>
              <w:tc>
                <w:tcPr>
                  <w:tcW w:w="1359" w:type="dxa"/>
                  <w:shd w:val="clear" w:color="auto" w:fill="auto"/>
                  <w:noWrap/>
                  <w:vAlign w:val="center"/>
                </w:tcPr>
                <w:p w14:paraId="62BD631D">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2001" w:type="dxa"/>
                  <w:vMerge w:val="continue"/>
                  <w:shd w:val="clear" w:color="auto" w:fill="auto"/>
                  <w:vAlign w:val="center"/>
                </w:tcPr>
                <w:p w14:paraId="47DCF6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p>
              </w:tc>
            </w:tr>
            <w:tr w14:paraId="1549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0" w:hRule="atLeast"/>
                <w:jc w:val="center"/>
              </w:trPr>
              <w:tc>
                <w:tcPr>
                  <w:tcW w:w="924" w:type="dxa"/>
                  <w:shd w:val="clear" w:color="auto" w:fill="auto"/>
                  <w:vAlign w:val="center"/>
                </w:tcPr>
                <w:p w14:paraId="4ED68F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rPr>
                    <w:t>4</w:t>
                  </w:r>
                </w:p>
              </w:tc>
              <w:tc>
                <w:tcPr>
                  <w:tcW w:w="1203" w:type="dxa"/>
                  <w:shd w:val="clear" w:color="auto" w:fill="auto"/>
                  <w:noWrap/>
                  <w:vAlign w:val="center"/>
                </w:tcPr>
                <w:p w14:paraId="0621DC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导轨</w:t>
                  </w:r>
                </w:p>
              </w:tc>
              <w:tc>
                <w:tcPr>
                  <w:tcW w:w="3141" w:type="dxa"/>
                  <w:shd w:val="clear" w:color="auto" w:fill="auto"/>
                  <w:vAlign w:val="center"/>
                </w:tcPr>
                <w:p w14:paraId="3E76D3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表面采用行业电泳处理,表面无污迹,划花或脱漆,起泡等不良现象,端面切口平整,无批锋,无切削碎片在包装内</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铝合金型材加厚</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加硬厚度</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最厚处1.2mm±0.3mm</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最薄处1.0mm±0.3mm</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轨道截图尺寸宽</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23mm±1%(22.38~23.28)</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高</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25.0mm±1%(24.8~25.2)</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封口重量17.77g±0.03g,材质厚度1.0mm±0.1mm</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每米成品承重≥50Kg</w:t>
                  </w:r>
                  <w:r>
                    <w:rPr>
                      <w:rFonts w:hint="eastAsia" w:hAnsi="宋体" w:cs="宋体"/>
                      <w:i w:val="0"/>
                      <w:iCs w:val="0"/>
                      <w:color w:val="auto"/>
                      <w:kern w:val="0"/>
                      <w:sz w:val="21"/>
                      <w:szCs w:val="21"/>
                      <w:highlight w:val="none"/>
                      <w:u w:val="none"/>
                      <w:lang w:val="en-US" w:eastAsia="zh-CN" w:bidi="ar"/>
                    </w:rPr>
                    <w:t>。</w:t>
                  </w:r>
                </w:p>
              </w:tc>
              <w:tc>
                <w:tcPr>
                  <w:tcW w:w="759" w:type="dxa"/>
                  <w:shd w:val="clear" w:color="auto" w:fill="auto"/>
                  <w:noWrap/>
                  <w:vAlign w:val="center"/>
                </w:tcPr>
                <w:p w14:paraId="4AF2B0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359" w:type="dxa"/>
                  <w:shd w:val="clear" w:color="auto" w:fill="auto"/>
                  <w:noWrap/>
                  <w:vAlign w:val="center"/>
                </w:tcPr>
                <w:p w14:paraId="7A70F314">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2001" w:type="dxa"/>
                  <w:shd w:val="clear" w:color="auto" w:fill="auto"/>
                  <w:vAlign w:val="center"/>
                </w:tcPr>
                <w:p w14:paraId="4101B2E6">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400</w:t>
                  </w:r>
                </w:p>
              </w:tc>
            </w:tr>
            <w:tr w14:paraId="191E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924" w:type="dxa"/>
                  <w:shd w:val="clear" w:color="auto" w:fill="auto"/>
                  <w:vAlign w:val="center"/>
                </w:tcPr>
                <w:p w14:paraId="52BC45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rPr>
                  </w:pPr>
                  <w:r>
                    <w:rPr>
                      <w:rFonts w:hint="eastAsia" w:ascii="宋体" w:hAnsi="宋体" w:eastAsia="宋体" w:cs="宋体"/>
                      <w:i w:val="0"/>
                      <w:iCs w:val="0"/>
                      <w:color w:val="auto"/>
                      <w:kern w:val="2"/>
                      <w:sz w:val="21"/>
                      <w:szCs w:val="21"/>
                      <w:highlight w:val="none"/>
                      <w:u w:val="none"/>
                      <w:lang w:val="en-US" w:eastAsia="zh-CN"/>
                    </w:rPr>
                    <w:t>5</w:t>
                  </w:r>
                </w:p>
              </w:tc>
              <w:tc>
                <w:tcPr>
                  <w:tcW w:w="1203" w:type="dxa"/>
                  <w:shd w:val="clear" w:color="auto" w:fill="auto"/>
                  <w:noWrap/>
                  <w:vAlign w:val="center"/>
                </w:tcPr>
                <w:p w14:paraId="23931C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辅料</w:t>
                  </w:r>
                </w:p>
              </w:tc>
              <w:tc>
                <w:tcPr>
                  <w:tcW w:w="3141" w:type="dxa"/>
                  <w:shd w:val="clear" w:color="auto" w:fill="auto"/>
                  <w:vAlign w:val="center"/>
                </w:tcPr>
                <w:p w14:paraId="036421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1．挂钩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采用104特AA镀塑挂钩，单钩可承载重量≥10</w:t>
                  </w:r>
                  <w:r>
                    <w:rPr>
                      <w:rFonts w:hint="eastAsia" w:hAnsi="宋体" w:cs="宋体"/>
                      <w:i w:val="0"/>
                      <w:iCs w:val="0"/>
                      <w:color w:val="auto"/>
                      <w:kern w:val="0"/>
                      <w:sz w:val="21"/>
                      <w:szCs w:val="21"/>
                      <w:highlight w:val="none"/>
                      <w:u w:val="none"/>
                      <w:lang w:val="en-US" w:eastAsia="zh-CN" w:bidi="ar"/>
                    </w:rPr>
                    <w:t>kg</w:t>
                  </w:r>
                  <w:r>
                    <w:rPr>
                      <w:rFonts w:hint="eastAsia" w:ascii="宋体" w:hAnsi="宋体" w:eastAsia="宋体" w:cs="宋体"/>
                      <w:i w:val="0"/>
                      <w:iCs w:val="0"/>
                      <w:color w:val="auto"/>
                      <w:kern w:val="0"/>
                      <w:sz w:val="21"/>
                      <w:szCs w:val="21"/>
                      <w:highlight w:val="none"/>
                      <w:u w:val="none"/>
                      <w:lang w:val="en-US" w:eastAsia="zh-CN" w:bidi="ar"/>
                    </w:rPr>
                    <w:t>，耐力强，拆装方便，不易变形，不生锈，可调节窗帘高度。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2．白布带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挂钩布带均经过高温处理，抗紫外线，耐用，耐老化，不惧日晒，可机洗。</w:t>
                  </w:r>
                </w:p>
              </w:tc>
              <w:tc>
                <w:tcPr>
                  <w:tcW w:w="759" w:type="dxa"/>
                  <w:shd w:val="clear" w:color="auto" w:fill="auto"/>
                  <w:noWrap/>
                  <w:vAlign w:val="center"/>
                </w:tcPr>
                <w:p w14:paraId="4187EE1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359" w:type="dxa"/>
                  <w:shd w:val="clear" w:color="auto" w:fill="auto"/>
                  <w:noWrap/>
                  <w:vAlign w:val="center"/>
                </w:tcPr>
                <w:p w14:paraId="3023F7A3">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2001" w:type="dxa"/>
                  <w:shd w:val="clear" w:color="auto" w:fill="auto"/>
                  <w:vAlign w:val="center"/>
                </w:tcPr>
                <w:p w14:paraId="72441D71">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rPr>
                  </w:pPr>
                  <w:r>
                    <w:rPr>
                      <w:rFonts w:hint="eastAsia" w:ascii="宋体" w:hAnsi="宋体" w:eastAsia="宋体" w:cs="宋体"/>
                      <w:i w:val="0"/>
                      <w:iCs w:val="0"/>
                      <w:color w:val="000000"/>
                      <w:kern w:val="0"/>
                      <w:sz w:val="22"/>
                      <w:szCs w:val="22"/>
                      <w:u w:val="none"/>
                      <w:lang w:val="en-US" w:eastAsia="zh-CN" w:bidi="ar"/>
                    </w:rPr>
                    <w:t>2040</w:t>
                  </w:r>
                </w:p>
              </w:tc>
            </w:tr>
          </w:tbl>
          <w:p w14:paraId="63456831">
            <w:pPr>
              <w:pStyle w:val="6"/>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注：项目采购清单具体以采购人实际需求为准，不仅限于上表所述采购内容。</w:t>
            </w:r>
          </w:p>
          <w:p w14:paraId="73A4093E">
            <w:pPr>
              <w:rPr>
                <w:rFonts w:hint="eastAsia"/>
              </w:rPr>
            </w:pPr>
          </w:p>
          <w:p w14:paraId="75D0E6EF">
            <w:pPr>
              <w:widowControl/>
              <w:tabs>
                <w:tab w:val="left" w:pos="540"/>
              </w:tabs>
              <w:adjustRightInd w:val="0"/>
              <w:snapToGrid w:val="0"/>
              <w:spacing w:line="360" w:lineRule="auto"/>
              <w:rPr>
                <w:rFonts w:hint="eastAsia" w:cs="宋体"/>
                <w:sz w:val="28"/>
                <w:szCs w:val="28"/>
              </w:rPr>
            </w:pPr>
            <w:r>
              <w:rPr>
                <w:rFonts w:hint="eastAsia" w:cs="宋体"/>
                <w:sz w:val="28"/>
                <w:szCs w:val="28"/>
                <w:lang w:val="en-US" w:eastAsia="zh-CN"/>
              </w:rPr>
              <w:t>1.本项目</w:t>
            </w:r>
            <w:r>
              <w:rPr>
                <w:rFonts w:hint="eastAsia" w:cs="宋体"/>
                <w:sz w:val="28"/>
                <w:szCs w:val="28"/>
              </w:rPr>
              <w:t>的所有费用均包含在结算价内，包括所有货物的采购费、包装费、运输费、装卸及搬运费、利润、税费、质量保证期内的售后维护服务费以及货物运抵采购人指定地点所产生的其它费用等。合同履约过程中，采购人不再额外支付其他费用。</w:t>
            </w:r>
          </w:p>
          <w:p w14:paraId="35E9DD00">
            <w:pPr>
              <w:widowControl/>
              <w:tabs>
                <w:tab w:val="left" w:pos="540"/>
              </w:tabs>
              <w:adjustRightInd w:val="0"/>
              <w:snapToGrid w:val="0"/>
              <w:spacing w:line="360" w:lineRule="auto"/>
              <w:rPr>
                <w:rFonts w:hint="eastAsia" w:cs="宋体"/>
                <w:sz w:val="28"/>
                <w:szCs w:val="28"/>
              </w:rPr>
            </w:pPr>
            <w:r>
              <w:rPr>
                <w:rFonts w:hint="eastAsia" w:cs="宋体"/>
                <w:sz w:val="28"/>
                <w:szCs w:val="28"/>
                <w:lang w:val="en-US" w:eastAsia="zh-CN"/>
              </w:rPr>
              <w:t>2.</w:t>
            </w:r>
            <w:r>
              <w:rPr>
                <w:rFonts w:hint="eastAsia" w:cs="宋体"/>
                <w:sz w:val="28"/>
                <w:szCs w:val="28"/>
              </w:rPr>
              <w:t>在任何情况下，采购人不保证服务期内的供应量及在服务期内所发生的业务额，投标人在报价时应予以考虑。</w:t>
            </w:r>
          </w:p>
          <w:p w14:paraId="700F7D21">
            <w:pPr>
              <w:widowControl/>
              <w:tabs>
                <w:tab w:val="left" w:pos="540"/>
              </w:tabs>
              <w:adjustRightInd w:val="0"/>
              <w:snapToGrid w:val="0"/>
              <w:spacing w:line="360" w:lineRule="auto"/>
              <w:rPr>
                <w:rFonts w:hint="eastAsia" w:cs="宋体"/>
                <w:sz w:val="28"/>
                <w:szCs w:val="28"/>
              </w:rPr>
            </w:pPr>
            <w:r>
              <w:rPr>
                <w:rFonts w:hint="eastAsia" w:cs="宋体"/>
                <w:sz w:val="28"/>
                <w:szCs w:val="28"/>
                <w:lang w:val="en-US" w:eastAsia="zh-CN"/>
              </w:rPr>
              <w:t>3</w:t>
            </w:r>
            <w:r>
              <w:rPr>
                <w:rFonts w:hint="eastAsia" w:cs="宋体"/>
                <w:sz w:val="28"/>
                <w:szCs w:val="28"/>
              </w:rPr>
              <w:t>.对列入政府集中目录内的货物，采购人需在广东省政府采购智慧云平台实施采购的，投标人不得有异议。</w:t>
            </w:r>
          </w:p>
          <w:p w14:paraId="7F6547DE">
            <w:pPr>
              <w:widowControl/>
              <w:numPr>
                <w:ilvl w:val="0"/>
                <w:numId w:val="2"/>
              </w:numPr>
              <w:spacing w:line="560" w:lineRule="exact"/>
              <w:jc w:val="both"/>
              <w:rPr>
                <w:rFonts w:hint="eastAsia" w:ascii="仿宋" w:hAnsi="仿宋" w:eastAsia="仿宋" w:cs="宋体"/>
                <w:b/>
                <w:sz w:val="28"/>
                <w:szCs w:val="28"/>
              </w:rPr>
            </w:pPr>
            <w:r>
              <w:rPr>
                <w:rFonts w:hint="eastAsia" w:ascii="仿宋" w:hAnsi="仿宋" w:eastAsia="仿宋" w:cs="宋体"/>
                <w:b/>
                <w:sz w:val="28"/>
                <w:szCs w:val="28"/>
              </w:rPr>
              <w:t>配置清单：</w:t>
            </w:r>
          </w:p>
          <w:p w14:paraId="4104F89B">
            <w:pPr>
              <w:widowControl/>
              <w:numPr>
                <w:ilvl w:val="0"/>
                <w:numId w:val="0"/>
              </w:numPr>
              <w:spacing w:line="560" w:lineRule="exact"/>
              <w:ind w:firstLine="560" w:firstLineChars="200"/>
              <w:jc w:val="both"/>
              <w:rPr>
                <w:rFonts w:hint="eastAsia"/>
                <w:sz w:val="28"/>
                <w:szCs w:val="28"/>
              </w:rPr>
            </w:pPr>
            <w:r>
              <w:rPr>
                <w:rFonts w:hint="eastAsia"/>
                <w:sz w:val="28"/>
                <w:szCs w:val="28"/>
              </w:rPr>
              <w:t>采购人实际采购产品包括但不限于附件清单，</w:t>
            </w:r>
            <w:r>
              <w:rPr>
                <w:rFonts w:hint="eastAsia"/>
                <w:sz w:val="28"/>
                <w:szCs w:val="28"/>
                <w:lang w:val="en-US" w:eastAsia="zh-CN"/>
              </w:rPr>
              <w:t>投标人</w:t>
            </w:r>
            <w:r>
              <w:rPr>
                <w:rFonts w:hint="eastAsia"/>
                <w:sz w:val="28"/>
                <w:szCs w:val="28"/>
              </w:rPr>
              <w:t>按照采购人实际需求供应。附件清单内货物的品牌或规格不符合科室需求的，采购人有权要求</w:t>
            </w:r>
            <w:r>
              <w:rPr>
                <w:rFonts w:hint="eastAsia"/>
                <w:sz w:val="28"/>
                <w:szCs w:val="28"/>
                <w:lang w:val="en-US" w:eastAsia="zh-CN"/>
              </w:rPr>
              <w:t>投标人</w:t>
            </w:r>
            <w:r>
              <w:rPr>
                <w:rFonts w:hint="eastAsia"/>
                <w:sz w:val="28"/>
                <w:szCs w:val="28"/>
              </w:rPr>
              <w:t>按科室需求供货；如有采购清单以外的物品，价格不得高出订货时本地</w:t>
            </w:r>
            <w:r>
              <w:rPr>
                <w:rFonts w:hint="eastAsia"/>
                <w:sz w:val="28"/>
                <w:szCs w:val="28"/>
                <w:lang w:val="en-US" w:eastAsia="zh-CN"/>
              </w:rPr>
              <w:t>市场</w:t>
            </w:r>
            <w:r>
              <w:rPr>
                <w:rFonts w:hint="eastAsia"/>
                <w:sz w:val="28"/>
                <w:szCs w:val="28"/>
              </w:rPr>
              <w:t>的零售价格。</w:t>
            </w:r>
          </w:p>
          <w:p w14:paraId="37F8F61C">
            <w:pPr>
              <w:widowControl/>
              <w:numPr>
                <w:ilvl w:val="0"/>
                <w:numId w:val="0"/>
              </w:numPr>
              <w:spacing w:line="560" w:lineRule="exact"/>
              <w:ind w:firstLine="560" w:firstLineChars="200"/>
              <w:jc w:val="both"/>
              <w:rPr>
                <w:sz w:val="28"/>
                <w:szCs w:val="28"/>
              </w:rPr>
            </w:pPr>
            <w:r>
              <w:rPr>
                <w:rFonts w:hint="eastAsia"/>
                <w:sz w:val="28"/>
                <w:szCs w:val="28"/>
              </w:rPr>
              <w:t>采购人有权对清单外的货物价格进行抽查，如出现价格偏高情况，采购人有权终止合同。</w:t>
            </w:r>
          </w:p>
          <w:p w14:paraId="2570A17F">
            <w:pPr>
              <w:widowControl/>
              <w:spacing w:line="560" w:lineRule="exact"/>
              <w:jc w:val="both"/>
              <w:rPr>
                <w:rFonts w:cs="宋体"/>
                <w:b/>
                <w:sz w:val="28"/>
                <w:szCs w:val="28"/>
              </w:rPr>
            </w:pPr>
            <w:r>
              <w:rPr>
                <w:rFonts w:hint="eastAsia" w:ascii="仿宋" w:hAnsi="仿宋" w:eastAsia="仿宋" w:cs="宋体"/>
                <w:b/>
                <w:sz w:val="28"/>
                <w:szCs w:val="28"/>
              </w:rPr>
              <w:t>（三）其他：</w:t>
            </w:r>
          </w:p>
          <w:p w14:paraId="52E9FEDA">
            <w:pPr>
              <w:widowControl/>
              <w:numPr>
                <w:ilvl w:val="0"/>
                <w:numId w:val="0"/>
              </w:numPr>
              <w:spacing w:line="560" w:lineRule="exact"/>
              <w:ind w:firstLine="560" w:firstLineChars="200"/>
              <w:jc w:val="both"/>
              <w:rPr>
                <w:rFonts w:hint="eastAsia"/>
                <w:sz w:val="28"/>
                <w:szCs w:val="28"/>
              </w:rPr>
            </w:pPr>
            <w:r>
              <w:rPr>
                <w:rFonts w:hint="eastAsia"/>
                <w:sz w:val="28"/>
                <w:szCs w:val="28"/>
              </w:rPr>
              <w:t xml:space="preserve">1.投标人必须根据采购人要求设计整体配送服务方案，并确定配送服务、车辆运输所应达到标准要求。 </w:t>
            </w:r>
          </w:p>
          <w:p w14:paraId="2741D4BF">
            <w:pPr>
              <w:widowControl/>
              <w:numPr>
                <w:ilvl w:val="0"/>
                <w:numId w:val="0"/>
              </w:numPr>
              <w:spacing w:line="560" w:lineRule="exact"/>
              <w:ind w:firstLine="560" w:firstLineChars="200"/>
              <w:jc w:val="both"/>
              <w:rPr>
                <w:rFonts w:hint="eastAsia"/>
                <w:sz w:val="28"/>
                <w:szCs w:val="28"/>
              </w:rPr>
            </w:pPr>
            <w:r>
              <w:rPr>
                <w:rFonts w:hint="eastAsia"/>
                <w:sz w:val="28"/>
                <w:szCs w:val="28"/>
              </w:rPr>
              <w:t>2.投标人每次供货必须按采购人的要求，按每个院区、科室清单分包装好，每个院区、科室的商品按人打包好；货票同行，分院区开票，送货时需附采购人提供的订单纸质版。下单后3日内到货（节假日顺延），紧急订单6小时内到货；除客观不可抗力和采购人原因外，投标人不得推迟送货。如确需延迟送货的，投标人应在得知情况后立即告知采购人。因投标人原因延误交货时间的（采购人要求推迟的除外），采购人有权采用第三方供货，由此产生的一切费用和造成的一切损失由投标人承担，并于当月结算完毕。</w:t>
            </w:r>
          </w:p>
          <w:p w14:paraId="4849C7A5">
            <w:pPr>
              <w:widowControl/>
              <w:numPr>
                <w:ilvl w:val="0"/>
                <w:numId w:val="0"/>
              </w:numPr>
              <w:spacing w:line="560" w:lineRule="exact"/>
              <w:ind w:firstLine="560" w:firstLineChars="200"/>
              <w:jc w:val="both"/>
              <w:rPr>
                <w:rFonts w:hint="eastAsia"/>
                <w:sz w:val="28"/>
                <w:szCs w:val="28"/>
              </w:rPr>
            </w:pPr>
            <w:r>
              <w:rPr>
                <w:rFonts w:hint="eastAsia"/>
                <w:sz w:val="28"/>
                <w:szCs w:val="28"/>
              </w:rPr>
              <w:t>3.投标人必须按照采购人提供的采购清单进行供货。如采购人因特殊需求，需临时配送货物，投标人必须在采购人规定时间内送达，应按所规定的要求清单按院区、科室分包装好配送。</w:t>
            </w:r>
          </w:p>
          <w:p w14:paraId="56D962EE">
            <w:pPr>
              <w:widowControl/>
              <w:numPr>
                <w:ilvl w:val="0"/>
                <w:numId w:val="0"/>
              </w:numPr>
              <w:spacing w:line="560" w:lineRule="exact"/>
              <w:ind w:firstLine="560" w:firstLineChars="200"/>
              <w:jc w:val="both"/>
              <w:rPr>
                <w:rFonts w:hint="eastAsia"/>
                <w:sz w:val="28"/>
                <w:szCs w:val="28"/>
              </w:rPr>
            </w:pPr>
            <w:r>
              <w:rPr>
                <w:rFonts w:hint="eastAsia"/>
                <w:sz w:val="28"/>
                <w:szCs w:val="28"/>
              </w:rPr>
              <w:t>4.包装必须与运输方式相适应，不能使用玻璃，金属等硬物；包装方式的确定及包装费用均由投标人负责；由于不适当的包装而造成货物在运输过程中有任何损坏、丢失由投标人负责。</w:t>
            </w:r>
          </w:p>
          <w:p w14:paraId="01A76A49">
            <w:pPr>
              <w:widowControl/>
              <w:numPr>
                <w:ilvl w:val="0"/>
                <w:numId w:val="0"/>
              </w:numPr>
              <w:spacing w:line="560" w:lineRule="exact"/>
              <w:ind w:firstLine="560" w:firstLineChars="200"/>
              <w:jc w:val="both"/>
              <w:rPr>
                <w:rFonts w:hint="eastAsia"/>
                <w:sz w:val="28"/>
                <w:szCs w:val="28"/>
              </w:rPr>
            </w:pPr>
            <w:r>
              <w:rPr>
                <w:rFonts w:hint="eastAsia"/>
                <w:sz w:val="28"/>
                <w:szCs w:val="28"/>
              </w:rPr>
              <w:t>5.投标人须承包及负责包括货物供货、运输、保管、验收、安装及相关服务等。</w:t>
            </w:r>
          </w:p>
          <w:p w14:paraId="53F98436">
            <w:pPr>
              <w:widowControl/>
              <w:numPr>
                <w:ilvl w:val="0"/>
                <w:numId w:val="0"/>
              </w:numPr>
              <w:spacing w:line="560" w:lineRule="exact"/>
              <w:ind w:firstLine="560" w:firstLineChars="200"/>
              <w:jc w:val="both"/>
              <w:rPr>
                <w:rFonts w:hint="eastAsia"/>
                <w:sz w:val="28"/>
                <w:szCs w:val="28"/>
              </w:rPr>
            </w:pPr>
            <w:r>
              <w:rPr>
                <w:rFonts w:hint="eastAsia"/>
                <w:sz w:val="28"/>
                <w:szCs w:val="28"/>
              </w:rPr>
              <w:t>6.投标人须提供已注册品牌制造商原装、全新的、符合国家及采购人提出的有关质量标准的产品。如发现不符合合同质量规定的商品，投标人须无条件收回所供应的商品，造成的损失由投标人负责，并在采购人指定的时间内更换好所需商品。</w:t>
            </w:r>
          </w:p>
          <w:p w14:paraId="35A76773">
            <w:pPr>
              <w:widowControl/>
              <w:numPr>
                <w:ilvl w:val="0"/>
                <w:numId w:val="0"/>
              </w:numPr>
              <w:spacing w:line="560" w:lineRule="exact"/>
              <w:ind w:firstLine="560" w:firstLineChars="200"/>
              <w:jc w:val="both"/>
              <w:rPr>
                <w:rFonts w:hint="eastAsia"/>
                <w:sz w:val="28"/>
                <w:szCs w:val="28"/>
              </w:rPr>
            </w:pPr>
            <w:r>
              <w:rPr>
                <w:rFonts w:hint="eastAsia"/>
                <w:sz w:val="28"/>
                <w:szCs w:val="28"/>
              </w:rPr>
              <w:t>7.交货时，所有货物在开箱检验时必须完好，无破损，配置与装箱单相符；数量、质量及性能不低于订单中提出的要求。产品外观清洁，标记编号以及盘面显示等字体清晰，明确能够准确无误地表示产品的型号、规格、制造商等信息。所有货物提供制造商出具的出厂合格证等质量证明文件。</w:t>
            </w:r>
          </w:p>
          <w:p w14:paraId="4772E95B">
            <w:pPr>
              <w:widowControl/>
              <w:numPr>
                <w:ilvl w:val="0"/>
                <w:numId w:val="0"/>
              </w:numPr>
              <w:spacing w:line="560" w:lineRule="exact"/>
              <w:ind w:firstLine="560" w:firstLineChars="200"/>
              <w:jc w:val="both"/>
              <w:rPr>
                <w:rFonts w:hint="eastAsia"/>
                <w:sz w:val="28"/>
                <w:szCs w:val="28"/>
              </w:rPr>
            </w:pPr>
            <w:r>
              <w:rPr>
                <w:rFonts w:hint="eastAsia"/>
                <w:sz w:val="28"/>
                <w:szCs w:val="28"/>
              </w:rPr>
              <w:t>8.本项目所涉及的质量保证期按国家的规定执行。货物在质量保证期内投标人提供相应的包换、包退、包修等服务。投标人承诺所有货物的质保期为1年，质保期限自货物通过采购人组织的验收之日起算（若国家对本项目所涉及的质保期的规定高于本项目的要求，应按国家的规定执行）。在质保期内，如货物非因采购人原因而出现的质量问题由投标人负责保修、包换或包退，并承担修理、调换或退货的实际费用。投标人不能修复、调换或不能退货的，应退回相应货款，并承担相应的违约责任。</w:t>
            </w:r>
          </w:p>
          <w:p w14:paraId="71B81592">
            <w:pPr>
              <w:widowControl/>
              <w:numPr>
                <w:ilvl w:val="0"/>
                <w:numId w:val="0"/>
              </w:numPr>
              <w:spacing w:line="560" w:lineRule="exact"/>
              <w:ind w:firstLine="560" w:firstLineChars="200"/>
              <w:jc w:val="both"/>
              <w:rPr>
                <w:rFonts w:hint="eastAsia"/>
                <w:sz w:val="28"/>
                <w:szCs w:val="28"/>
              </w:rPr>
            </w:pPr>
            <w:r>
              <w:rPr>
                <w:rFonts w:hint="eastAsia"/>
                <w:sz w:val="28"/>
                <w:szCs w:val="28"/>
              </w:rPr>
              <w:t>9.货物在验收合格前的保险由投标人负责，投标人负责其派出的现场服务人员人身意外保险。</w:t>
            </w:r>
          </w:p>
          <w:p w14:paraId="4E8308EC">
            <w:pPr>
              <w:widowControl/>
              <w:numPr>
                <w:ilvl w:val="0"/>
                <w:numId w:val="0"/>
              </w:numPr>
              <w:spacing w:line="560" w:lineRule="exact"/>
              <w:ind w:firstLine="560" w:firstLineChars="200"/>
              <w:jc w:val="both"/>
              <w:rPr>
                <w:rFonts w:hint="eastAsia"/>
                <w:sz w:val="28"/>
                <w:szCs w:val="28"/>
              </w:rPr>
            </w:pPr>
            <w:r>
              <w:rPr>
                <w:rFonts w:hint="eastAsia"/>
                <w:sz w:val="28"/>
                <w:szCs w:val="28"/>
              </w:rPr>
              <w:t>10.投标人须按照投标文件中提供的《售后服务承诺书》执行售后服务，《售后服务承诺书》附后作为合同的组成部分。</w:t>
            </w:r>
          </w:p>
          <w:p w14:paraId="6537B78F">
            <w:pPr>
              <w:widowControl/>
              <w:numPr>
                <w:ilvl w:val="0"/>
                <w:numId w:val="0"/>
              </w:numPr>
              <w:spacing w:line="560" w:lineRule="exact"/>
              <w:ind w:firstLine="560" w:firstLineChars="200"/>
              <w:jc w:val="both"/>
              <w:rPr>
                <w:rFonts w:hint="eastAsia"/>
                <w:sz w:val="28"/>
                <w:szCs w:val="28"/>
              </w:rPr>
            </w:pPr>
            <w:r>
              <w:rPr>
                <w:rFonts w:hint="eastAsia"/>
                <w:sz w:val="28"/>
                <w:szCs w:val="28"/>
              </w:rPr>
              <w:t>11.投标人应至少安排1个专人负责为采购人送货并做好联络及跟进售后工作。</w:t>
            </w:r>
          </w:p>
          <w:p w14:paraId="7B10D6B1">
            <w:pPr>
              <w:widowControl/>
              <w:numPr>
                <w:ilvl w:val="0"/>
                <w:numId w:val="0"/>
              </w:numPr>
              <w:spacing w:line="560" w:lineRule="exact"/>
              <w:ind w:firstLine="560" w:firstLineChars="200"/>
              <w:jc w:val="both"/>
              <w:rPr>
                <w:rFonts w:hint="eastAsia" w:eastAsia="仿宋" w:cs="宋体"/>
                <w:b/>
                <w:sz w:val="28"/>
                <w:szCs w:val="28"/>
                <w:lang w:eastAsia="zh-CN"/>
              </w:rPr>
            </w:pPr>
            <w:r>
              <w:rPr>
                <w:rFonts w:hint="eastAsia"/>
                <w:sz w:val="28"/>
                <w:szCs w:val="28"/>
              </w:rPr>
              <w:t>12.投标人在采购人发出订单后，应当按照约定时间将商品送达指定地点，并协助采购人妥善摆放。由于投标人拖沓造成采购人利益受损的，采购人有权要求投标人赔偿，每发生一次，投标人须支付采购人1000元的赔偿金，赔偿金由采购人直接在货款中扣减；由于投标人原因，漏订、错订的，每发生一次，投标人须支付采购人1000元的违约金，违约金由采购人直接在应付货款中扣减</w:t>
            </w:r>
            <w:r>
              <w:rPr>
                <w:rFonts w:hint="eastAsia"/>
                <w:sz w:val="28"/>
                <w:szCs w:val="28"/>
                <w:lang w:eastAsia="zh-CN"/>
              </w:rPr>
              <w:t>。</w:t>
            </w:r>
          </w:p>
        </w:tc>
      </w:tr>
      <w:tr w14:paraId="5FBC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9" w:hRule="atLeast"/>
          <w:jc w:val="center"/>
        </w:trPr>
        <w:tc>
          <w:tcPr>
            <w:tcW w:w="994" w:type="dxa"/>
            <w:vMerge w:val="continue"/>
            <w:tcBorders>
              <w:top w:val="nil"/>
              <w:bottom w:val="nil"/>
            </w:tcBorders>
          </w:tcPr>
          <w:p w14:paraId="6C70A894">
            <w:pPr>
              <w:rPr>
                <w:sz w:val="2"/>
                <w:szCs w:val="2"/>
              </w:rPr>
            </w:pPr>
          </w:p>
        </w:tc>
        <w:tc>
          <w:tcPr>
            <w:tcW w:w="885" w:type="dxa"/>
          </w:tcPr>
          <w:p w14:paraId="39003359">
            <w:pPr>
              <w:pStyle w:val="20"/>
              <w:rPr>
                <w:sz w:val="28"/>
              </w:rPr>
            </w:pPr>
          </w:p>
          <w:p w14:paraId="57BEA14A">
            <w:pPr>
              <w:pStyle w:val="20"/>
              <w:rPr>
                <w:sz w:val="28"/>
              </w:rPr>
            </w:pPr>
          </w:p>
          <w:p w14:paraId="473E8A6B">
            <w:pPr>
              <w:pStyle w:val="20"/>
              <w:rPr>
                <w:sz w:val="28"/>
              </w:rPr>
            </w:pPr>
          </w:p>
          <w:p w14:paraId="45511259">
            <w:pPr>
              <w:pStyle w:val="20"/>
              <w:rPr>
                <w:sz w:val="28"/>
              </w:rPr>
            </w:pPr>
          </w:p>
          <w:p w14:paraId="5239B440">
            <w:pPr>
              <w:pStyle w:val="20"/>
              <w:spacing w:before="7"/>
              <w:rPr>
                <w:sz w:val="21"/>
              </w:rPr>
            </w:pPr>
          </w:p>
          <w:p w14:paraId="0AC4E5E0">
            <w:pPr>
              <w:pStyle w:val="20"/>
              <w:spacing w:line="417" w:lineRule="auto"/>
              <w:ind w:left="226" w:right="217"/>
              <w:rPr>
                <w:b/>
                <w:sz w:val="28"/>
              </w:rPr>
            </w:pPr>
            <w:r>
              <w:rPr>
                <w:b/>
                <w:sz w:val="28"/>
              </w:rPr>
              <w:t>商务部分</w:t>
            </w:r>
          </w:p>
        </w:tc>
        <w:tc>
          <w:tcPr>
            <w:tcW w:w="8852" w:type="dxa"/>
          </w:tcPr>
          <w:p w14:paraId="3EB3880F">
            <w:pPr>
              <w:widowControl/>
              <w:spacing w:line="360" w:lineRule="auto"/>
              <w:rPr>
                <w:b/>
                <w:sz w:val="28"/>
                <w:szCs w:val="28"/>
                <w:lang w:val="en-US"/>
              </w:rPr>
            </w:pPr>
            <w:r>
              <w:rPr>
                <w:b/>
                <w:sz w:val="28"/>
                <w:szCs w:val="28"/>
              </w:rPr>
              <w:t>（一）交付时间：</w:t>
            </w:r>
            <w:r>
              <w:rPr>
                <w:rFonts w:hint="eastAsia"/>
                <w:b/>
                <w:sz w:val="28"/>
                <w:szCs w:val="28"/>
                <w:lang w:val="en-US"/>
              </w:rPr>
              <w:t>按采购人要求</w:t>
            </w:r>
          </w:p>
          <w:p w14:paraId="08777E72">
            <w:pPr>
              <w:widowControl/>
              <w:spacing w:line="360" w:lineRule="auto"/>
              <w:rPr>
                <w:b/>
                <w:sz w:val="28"/>
                <w:szCs w:val="28"/>
              </w:rPr>
            </w:pPr>
            <w:r>
              <w:rPr>
                <w:b/>
                <w:sz w:val="28"/>
                <w:szCs w:val="28"/>
              </w:rPr>
              <w:t>（二）交付地点：</w:t>
            </w:r>
            <w:r>
              <w:rPr>
                <w:rFonts w:hint="eastAsia"/>
                <w:b/>
                <w:sz w:val="28"/>
                <w:szCs w:val="28"/>
                <w:lang w:val="en-US"/>
              </w:rPr>
              <w:t>采购人指定地点</w:t>
            </w:r>
          </w:p>
          <w:p w14:paraId="675AD40F">
            <w:pPr>
              <w:spacing w:line="360" w:lineRule="auto"/>
              <w:rPr>
                <w:b/>
                <w:sz w:val="28"/>
                <w:szCs w:val="28"/>
              </w:rPr>
            </w:pPr>
            <w:r>
              <w:rPr>
                <w:b/>
                <w:sz w:val="28"/>
                <w:szCs w:val="28"/>
              </w:rPr>
              <w:t>（三）服务期限：</w:t>
            </w:r>
          </w:p>
          <w:p w14:paraId="35490ABE">
            <w:pPr>
              <w:spacing w:line="360" w:lineRule="auto"/>
              <w:ind w:firstLine="281" w:firstLineChars="100"/>
              <w:rPr>
                <w:rFonts w:hint="eastAsia" w:ascii="宋体" w:hAnsi="宋体" w:eastAsia="宋体" w:cs="宋体"/>
                <w:b w:val="0"/>
                <w:bCs/>
                <w:sz w:val="24"/>
                <w:szCs w:val="24"/>
                <w:lang w:val="en-US" w:eastAsia="zh-CN" w:bidi="zh-CN"/>
              </w:rPr>
            </w:pPr>
            <w:r>
              <w:rPr>
                <w:rFonts w:ascii="宋体" w:hAnsi="宋体" w:eastAsia="宋体" w:cs="宋体"/>
                <w:b/>
                <w:sz w:val="28"/>
                <w:szCs w:val="22"/>
                <w:lang w:val="zh-CN" w:eastAsia="zh-CN" w:bidi="zh-CN"/>
              </w:rPr>
              <w:t xml:space="preserve"> </w:t>
            </w:r>
            <w:r>
              <w:rPr>
                <w:rFonts w:hint="eastAsia" w:ascii="宋体" w:hAnsi="宋体" w:eastAsia="宋体" w:cs="宋体"/>
                <w:b w:val="0"/>
                <w:bCs/>
                <w:sz w:val="24"/>
                <w:szCs w:val="24"/>
                <w:lang w:val="en-US" w:eastAsia="zh-CN" w:bidi="zh-CN"/>
              </w:rPr>
              <w:t>1.合同一签两年，自合同生效之日起算。</w:t>
            </w:r>
          </w:p>
          <w:p w14:paraId="432B78FA">
            <w:pPr>
              <w:spacing w:line="360" w:lineRule="auto"/>
              <w:ind w:firstLine="480" w:firstLineChars="200"/>
              <w:rPr>
                <w:rFonts w:hint="default" w:ascii="宋体" w:hAnsi="宋体" w:eastAsia="宋体" w:cs="宋体"/>
                <w:b w:val="0"/>
                <w:bCs/>
                <w:sz w:val="24"/>
                <w:szCs w:val="24"/>
                <w:lang w:val="en-US" w:eastAsia="zh-CN" w:bidi="zh-CN"/>
              </w:rPr>
            </w:pPr>
            <w:r>
              <w:rPr>
                <w:rFonts w:hint="eastAsia" w:ascii="宋体" w:hAnsi="宋体" w:eastAsia="宋体" w:cs="宋体"/>
                <w:b w:val="0"/>
                <w:bCs/>
                <w:sz w:val="24"/>
                <w:szCs w:val="24"/>
                <w:lang w:val="en-US" w:eastAsia="zh-CN" w:bidi="zh-CN"/>
              </w:rPr>
              <w:t>2.如合同完结前，采购人和供应商双方就本采购包签订的全部合同累计实际结算款项已达本采购项目采购预算总额，合同提前终止。采购人亦不保证2年服务期内达到本项目2年预算总金额。</w:t>
            </w:r>
          </w:p>
          <w:p w14:paraId="3FDEFA21">
            <w:pPr>
              <w:widowControl/>
              <w:spacing w:line="360" w:lineRule="auto"/>
              <w:rPr>
                <w:b/>
                <w:sz w:val="28"/>
                <w:szCs w:val="28"/>
              </w:rPr>
            </w:pPr>
            <w:r>
              <w:rPr>
                <w:b/>
                <w:sz w:val="28"/>
                <w:szCs w:val="28"/>
              </w:rPr>
              <w:t>（</w:t>
            </w:r>
            <w:r>
              <w:rPr>
                <w:rFonts w:hint="eastAsia"/>
                <w:b/>
                <w:sz w:val="28"/>
                <w:szCs w:val="28"/>
              </w:rPr>
              <w:t>四</w:t>
            </w:r>
            <w:r>
              <w:rPr>
                <w:b/>
                <w:sz w:val="28"/>
                <w:szCs w:val="28"/>
              </w:rPr>
              <w:t>）付款条件（含进度与方式）：</w:t>
            </w:r>
          </w:p>
          <w:p w14:paraId="5351C522">
            <w:pPr>
              <w:spacing w:line="360" w:lineRule="auto"/>
              <w:rPr>
                <w:rFonts w:hint="eastAsia" w:cs="宋体"/>
                <w:sz w:val="28"/>
                <w:szCs w:val="28"/>
              </w:rPr>
            </w:pPr>
            <w:r>
              <w:rPr>
                <w:rFonts w:hint="eastAsia" w:cs="宋体"/>
                <w:sz w:val="28"/>
                <w:szCs w:val="28"/>
              </w:rPr>
              <w:t>1.合同签订后，先供货后付款；采购人对所购商品验收确认后，按合同约定支付货款。</w:t>
            </w:r>
          </w:p>
          <w:p w14:paraId="75A6666D">
            <w:pPr>
              <w:spacing w:line="360" w:lineRule="auto"/>
              <w:rPr>
                <w:rFonts w:hint="eastAsia" w:cs="宋体"/>
                <w:sz w:val="28"/>
                <w:szCs w:val="28"/>
              </w:rPr>
            </w:pPr>
            <w:r>
              <w:rPr>
                <w:rFonts w:hint="eastAsia" w:cs="宋体"/>
                <w:sz w:val="28"/>
                <w:szCs w:val="28"/>
              </w:rPr>
              <w:t>2.结算金额按商品（</w:t>
            </w:r>
            <w:r>
              <w:rPr>
                <w:rFonts w:hint="eastAsia" w:cs="宋体"/>
                <w:sz w:val="28"/>
                <w:szCs w:val="28"/>
                <w:lang w:val="en-US" w:eastAsia="zh-CN"/>
              </w:rPr>
              <w:t>货物</w:t>
            </w:r>
            <w:r>
              <w:rPr>
                <w:rFonts w:hint="eastAsia" w:cs="宋体"/>
                <w:sz w:val="28"/>
                <w:szCs w:val="28"/>
              </w:rPr>
              <w:t>）实际结算单价×实际供货数量结算。结算时，须提供符合国家财税法律规定和相关制度要求的销售发票。</w:t>
            </w:r>
          </w:p>
          <w:p w14:paraId="47E878CC">
            <w:pPr>
              <w:spacing w:line="360" w:lineRule="auto"/>
              <w:rPr>
                <w:sz w:val="28"/>
                <w:szCs w:val="28"/>
              </w:rPr>
            </w:pPr>
            <w:r>
              <w:rPr>
                <w:rFonts w:hint="eastAsia" w:cs="宋体"/>
                <w:sz w:val="28"/>
                <w:szCs w:val="28"/>
              </w:rPr>
              <w:t>3.货物验收合格后，并在采购人收到服务商提交的实际供应数量的完整单据并经审核无误后，采购人</w:t>
            </w:r>
            <w:r>
              <w:rPr>
                <w:rFonts w:hint="eastAsia" w:cs="宋体"/>
                <w:sz w:val="28"/>
                <w:szCs w:val="28"/>
                <w:lang w:val="en-US" w:eastAsia="zh-CN"/>
              </w:rPr>
              <w:t>60</w:t>
            </w:r>
            <w:r>
              <w:rPr>
                <w:rFonts w:hint="eastAsia" w:cs="宋体"/>
                <w:sz w:val="28"/>
                <w:szCs w:val="28"/>
              </w:rPr>
              <w:t>天内按当批货物双方确认的供应价款的100%以转账形式一次性付清。</w:t>
            </w:r>
          </w:p>
          <w:p w14:paraId="40710353">
            <w:pPr>
              <w:widowControl/>
              <w:spacing w:line="360" w:lineRule="auto"/>
              <w:rPr>
                <w:b/>
                <w:sz w:val="28"/>
                <w:szCs w:val="28"/>
              </w:rPr>
            </w:pPr>
            <w:r>
              <w:rPr>
                <w:b/>
                <w:sz w:val="28"/>
                <w:szCs w:val="28"/>
              </w:rPr>
              <w:t>（五）包装与运输要求</w:t>
            </w:r>
          </w:p>
          <w:p w14:paraId="4174A596">
            <w:pPr>
              <w:widowControl/>
              <w:spacing w:line="360" w:lineRule="auto"/>
              <w:rPr>
                <w:sz w:val="28"/>
                <w:szCs w:val="28"/>
              </w:rPr>
            </w:pPr>
            <w:r>
              <w:rPr>
                <w:rFonts w:hint="eastAsia"/>
                <w:sz w:val="28"/>
                <w:szCs w:val="28"/>
              </w:rPr>
              <w:t>（1）货物的包装应是制造商原厂包装，其包装均应有良好的防湿、防锈、防潮、防雨、防腐及防碰撞的措施。凡由于包装不良造成的损失和由此产生的费用均由供应商承担。</w:t>
            </w:r>
          </w:p>
          <w:p w14:paraId="2779B5D4">
            <w:pPr>
              <w:widowControl/>
              <w:spacing w:line="360" w:lineRule="auto"/>
              <w:rPr>
                <w:sz w:val="28"/>
                <w:szCs w:val="28"/>
              </w:rPr>
            </w:pPr>
            <w:r>
              <w:rPr>
                <w:sz w:val="28"/>
                <w:szCs w:val="28"/>
              </w:rPr>
              <w:t>（</w:t>
            </w:r>
            <w:r>
              <w:rPr>
                <w:rFonts w:hint="eastAsia"/>
                <w:sz w:val="28"/>
                <w:szCs w:val="28"/>
              </w:rPr>
              <w:t>2</w:t>
            </w:r>
            <w:r>
              <w:rPr>
                <w:sz w:val="28"/>
                <w:szCs w:val="28"/>
              </w:rPr>
              <w:t>）</w:t>
            </w:r>
            <w:r>
              <w:rPr>
                <w:rFonts w:hint="eastAsia"/>
                <w:sz w:val="28"/>
                <w:szCs w:val="28"/>
              </w:rPr>
              <w:t>要求低温或特殊要求保存的货物，供应商应冷藏保存及采用冷链或符合要求的运输工具及方式进行保存和运输，并须在到货验收时向采购人人员提供货物运输过程的在途冷链记录。</w:t>
            </w:r>
          </w:p>
          <w:p w14:paraId="72010C3F">
            <w:pPr>
              <w:widowControl/>
              <w:spacing w:line="360" w:lineRule="auto"/>
              <w:rPr>
                <w:sz w:val="28"/>
                <w:szCs w:val="28"/>
              </w:rPr>
            </w:pPr>
            <w:r>
              <w:rPr>
                <w:rFonts w:hint="eastAsia"/>
                <w:sz w:val="28"/>
                <w:szCs w:val="28"/>
              </w:rPr>
              <w:t>（</w:t>
            </w:r>
            <w:r>
              <w:rPr>
                <w:sz w:val="28"/>
                <w:szCs w:val="28"/>
              </w:rPr>
              <w:t>3）</w:t>
            </w:r>
            <w:r>
              <w:rPr>
                <w:rFonts w:hint="eastAsia"/>
                <w:sz w:val="28"/>
                <w:szCs w:val="28"/>
              </w:rPr>
              <w:t>包装必须与运输方式相适应，不能使用玻璃，金属等硬物；包装方式的确定及包装费用均由供应商负责；由于不适当的包装而造成货物在运输过程中有任何损坏、丢失由供应商负责。</w:t>
            </w:r>
          </w:p>
          <w:p w14:paraId="505579F5">
            <w:pPr>
              <w:widowControl/>
              <w:spacing w:line="360" w:lineRule="auto"/>
              <w:rPr>
                <w:sz w:val="28"/>
                <w:szCs w:val="28"/>
              </w:rPr>
            </w:pPr>
            <w:r>
              <w:rPr>
                <w:b/>
                <w:sz w:val="28"/>
                <w:szCs w:val="28"/>
              </w:rPr>
              <w:t>（五）售</w:t>
            </w:r>
            <w:r>
              <w:rPr>
                <w:rFonts w:hint="eastAsia"/>
                <w:b/>
                <w:sz w:val="28"/>
                <w:szCs w:val="28"/>
              </w:rPr>
              <w:t>后</w:t>
            </w:r>
            <w:r>
              <w:rPr>
                <w:b/>
                <w:sz w:val="28"/>
                <w:szCs w:val="28"/>
              </w:rPr>
              <w:t>服务</w:t>
            </w:r>
            <w:r>
              <w:rPr>
                <w:sz w:val="28"/>
                <w:szCs w:val="28"/>
              </w:rPr>
              <w:t>：</w:t>
            </w:r>
          </w:p>
          <w:p w14:paraId="09DD3A5A">
            <w:pPr>
              <w:widowControl/>
              <w:spacing w:line="360" w:lineRule="auto"/>
              <w:rPr>
                <w:sz w:val="28"/>
                <w:szCs w:val="28"/>
              </w:rPr>
            </w:pPr>
            <w:r>
              <w:rPr>
                <w:sz w:val="28"/>
                <w:szCs w:val="28"/>
              </w:rPr>
              <w:t>（</w:t>
            </w:r>
            <w:r>
              <w:rPr>
                <w:rFonts w:hint="eastAsia"/>
                <w:sz w:val="28"/>
                <w:szCs w:val="28"/>
              </w:rPr>
              <w:t>1</w:t>
            </w:r>
            <w:r>
              <w:rPr>
                <w:sz w:val="28"/>
                <w:szCs w:val="28"/>
              </w:rPr>
              <w:t>）商品出现损坏（包括表面损坏），或出现水渍、串味、受潮等导致货物性质改变的，</w:t>
            </w:r>
            <w:r>
              <w:rPr>
                <w:rFonts w:hint="eastAsia"/>
                <w:sz w:val="28"/>
                <w:szCs w:val="28"/>
              </w:rPr>
              <w:t>供应商</w:t>
            </w:r>
            <w:r>
              <w:rPr>
                <w:sz w:val="28"/>
                <w:szCs w:val="28"/>
              </w:rPr>
              <w:t>须无条件退货或更换货物。</w:t>
            </w:r>
          </w:p>
          <w:p w14:paraId="1204A9EF">
            <w:pPr>
              <w:widowControl/>
              <w:spacing w:line="360" w:lineRule="auto"/>
              <w:rPr>
                <w:sz w:val="28"/>
                <w:szCs w:val="28"/>
              </w:rPr>
            </w:pPr>
            <w:r>
              <w:rPr>
                <w:rFonts w:hint="eastAsia"/>
                <w:sz w:val="28"/>
                <w:szCs w:val="28"/>
              </w:rPr>
              <w:t>（2）保修和售后服务须符合国家或行业管理部门政策规定的保修及售后服务要求。货物在质量保证期内成交供应商提供相应的包换、包退、包修等服务，质保期限自货物通过采购人组织的验收之日起算。在质保期内，非采购人原因而出现的质量问题由供应商负责保修、包换或包退，供应商不能修复、调换的，应退回相应货款</w:t>
            </w:r>
            <w:r>
              <w:rPr>
                <w:sz w:val="28"/>
                <w:szCs w:val="28"/>
              </w:rPr>
              <w:t>，</w:t>
            </w:r>
            <w:r>
              <w:rPr>
                <w:rFonts w:hint="eastAsia"/>
                <w:sz w:val="28"/>
                <w:szCs w:val="28"/>
              </w:rPr>
              <w:t>并承担因此而产生的一切费用和责任。</w:t>
            </w:r>
          </w:p>
          <w:p w14:paraId="53680D51">
            <w:pPr>
              <w:widowControl/>
              <w:spacing w:line="360" w:lineRule="auto"/>
              <w:rPr>
                <w:b/>
                <w:sz w:val="28"/>
                <w:szCs w:val="28"/>
              </w:rPr>
            </w:pPr>
            <w:r>
              <w:rPr>
                <w:rFonts w:hint="eastAsia"/>
                <w:b/>
                <w:sz w:val="28"/>
                <w:szCs w:val="28"/>
              </w:rPr>
              <w:t>（六）其他</w:t>
            </w:r>
          </w:p>
          <w:p w14:paraId="0669C27B">
            <w:pPr>
              <w:widowControl/>
              <w:spacing w:line="360" w:lineRule="auto"/>
              <w:rPr>
                <w:rFonts w:hint="eastAsia"/>
                <w:sz w:val="28"/>
                <w:szCs w:val="28"/>
              </w:rPr>
            </w:pPr>
            <w:r>
              <w:rPr>
                <w:rFonts w:hint="eastAsia"/>
                <w:sz w:val="28"/>
                <w:szCs w:val="28"/>
              </w:rPr>
              <w:t>1.采购人在接收货物时，应对货物进行验收确认，货物若有国家标准按照国家标准验收，若无国家标准按行业标准验收，若货物不符合合同要求的，采购人有权拒绝接收，投标人应及时更换提供符合要求的货物，不得影响采购人的正常使用。</w:t>
            </w:r>
          </w:p>
          <w:p w14:paraId="4EB4C009">
            <w:pPr>
              <w:widowControl/>
              <w:spacing w:line="360" w:lineRule="auto"/>
              <w:rPr>
                <w:rFonts w:hint="eastAsia"/>
                <w:sz w:val="28"/>
                <w:szCs w:val="28"/>
              </w:rPr>
            </w:pPr>
            <w:r>
              <w:rPr>
                <w:rFonts w:hint="eastAsia"/>
                <w:sz w:val="28"/>
                <w:szCs w:val="28"/>
              </w:rPr>
              <w:t>2.采购人自主组成验收小组按国家有关规定、规范进行验收，必要时邀请相关的专业人员或者机构参与验收。</w:t>
            </w:r>
          </w:p>
          <w:p w14:paraId="5F94A409">
            <w:pPr>
              <w:widowControl/>
              <w:spacing w:line="360" w:lineRule="auto"/>
              <w:rPr>
                <w:rFonts w:hint="eastAsia"/>
                <w:sz w:val="28"/>
                <w:szCs w:val="28"/>
              </w:rPr>
            </w:pPr>
            <w:r>
              <w:rPr>
                <w:rFonts w:hint="eastAsia"/>
                <w:sz w:val="28"/>
                <w:szCs w:val="28"/>
              </w:rPr>
              <w:t>3.如经发现投标人所送货物有质量问题，采购人有权退货，投标人需立即重新送货，不得以任何理由推迟。对于供应不合格的、假冒伪劣、以次充好的商品，应无条件立即更换，并按国家相关法律要求进行赔偿，情节严重者移交相关执法部门处理。投标人未能履行招标文件和合同所定事项,采购人退货后将记录在案，并对投标人予以处罚，除要承担因此产生的一切费用和造成的一切损失外，情节严重的可取消其供应资格。</w:t>
            </w:r>
          </w:p>
          <w:p w14:paraId="12C34CC2">
            <w:pPr>
              <w:widowControl/>
              <w:spacing w:line="360" w:lineRule="auto"/>
              <w:rPr>
                <w:rFonts w:hint="eastAsia"/>
                <w:sz w:val="28"/>
                <w:szCs w:val="28"/>
              </w:rPr>
            </w:pPr>
            <w:r>
              <w:rPr>
                <w:rFonts w:hint="eastAsia"/>
                <w:sz w:val="28"/>
                <w:szCs w:val="28"/>
              </w:rPr>
              <w:t>4.采购人将定期对投标人进行评价考核，考核不合格的有权取消其配送资格。</w:t>
            </w:r>
          </w:p>
          <w:p w14:paraId="4F80385E">
            <w:pPr>
              <w:widowControl/>
              <w:spacing w:line="360" w:lineRule="auto"/>
              <w:rPr>
                <w:rFonts w:hint="eastAsia"/>
                <w:sz w:val="28"/>
                <w:szCs w:val="28"/>
              </w:rPr>
            </w:pPr>
            <w:r>
              <w:rPr>
                <w:rFonts w:hint="eastAsia"/>
                <w:sz w:val="28"/>
                <w:szCs w:val="28"/>
              </w:rPr>
              <w:t>5.服务期限内，若投标人出现违约、货物不合格、未按规定价格供货、经采购人考核不满意等情况时，采购人有权取消其配送资格，采购人可以按中标结果候选人名次排序，顺延确定下一中标候选人为中标人或者重新组织采购。</w:t>
            </w:r>
          </w:p>
          <w:p w14:paraId="08A31864">
            <w:pPr>
              <w:widowControl/>
              <w:spacing w:line="360" w:lineRule="auto"/>
              <w:rPr>
                <w:rFonts w:hint="eastAsia"/>
                <w:sz w:val="28"/>
                <w:szCs w:val="28"/>
              </w:rPr>
            </w:pPr>
            <w:r>
              <w:rPr>
                <w:rFonts w:hint="eastAsia"/>
                <w:sz w:val="28"/>
                <w:szCs w:val="28"/>
              </w:rPr>
              <w:t>6.投标人须无条件配合采购人进行相关货物的询价工作，如在采购人要求下仍不配合询价工作的，采购人有权无条件取消其供应资格。</w:t>
            </w:r>
          </w:p>
          <w:p w14:paraId="7E094DEE">
            <w:pPr>
              <w:widowControl/>
              <w:spacing w:line="360" w:lineRule="auto"/>
              <w:rPr>
                <w:rFonts w:hint="eastAsia"/>
                <w:sz w:val="28"/>
                <w:szCs w:val="28"/>
              </w:rPr>
            </w:pPr>
            <w:r>
              <w:rPr>
                <w:rFonts w:hint="eastAsia"/>
                <w:sz w:val="28"/>
                <w:szCs w:val="28"/>
              </w:rPr>
              <w:t>7.投标人服务期限内违约三次以上（含三次），采购人有权无条件取消其配送资格。</w:t>
            </w:r>
          </w:p>
          <w:p w14:paraId="70C7649C">
            <w:pPr>
              <w:widowControl/>
              <w:spacing w:line="360" w:lineRule="auto"/>
              <w:rPr>
                <w:rFonts w:hint="eastAsia"/>
                <w:sz w:val="28"/>
                <w:szCs w:val="28"/>
              </w:rPr>
            </w:pPr>
            <w:r>
              <w:rPr>
                <w:rFonts w:hint="eastAsia"/>
                <w:sz w:val="28"/>
                <w:szCs w:val="28"/>
              </w:rPr>
              <w:t>8.因投标人产品质量问题或者安装时所导致的采购人人员、投标人人员或其他第三方人员的人身损害与财产损失，投标人应当承担全部责任，包括但不限于经济责任、法律责任等。</w:t>
            </w:r>
          </w:p>
          <w:p w14:paraId="7633533E">
            <w:pPr>
              <w:widowControl/>
              <w:spacing w:line="360" w:lineRule="auto"/>
              <w:rPr>
                <w:rFonts w:hint="eastAsia"/>
                <w:sz w:val="28"/>
                <w:szCs w:val="28"/>
              </w:rPr>
            </w:pPr>
            <w:r>
              <w:rPr>
                <w:rFonts w:hint="eastAsia"/>
                <w:sz w:val="28"/>
                <w:szCs w:val="28"/>
              </w:rPr>
              <w:t>9.因投标人违反合同约定而产生的费用、违约金以及赔偿金等款项，采购人均有权从应支付的费用中直接扣减，并且不足部分由投标人继续支付。</w:t>
            </w:r>
          </w:p>
          <w:p w14:paraId="7C0A1C31">
            <w:pPr>
              <w:widowControl/>
              <w:spacing w:line="360" w:lineRule="auto"/>
              <w:rPr>
                <w:rFonts w:hint="eastAsia"/>
                <w:sz w:val="28"/>
                <w:szCs w:val="28"/>
              </w:rPr>
            </w:pPr>
            <w:r>
              <w:rPr>
                <w:rFonts w:hint="eastAsia"/>
                <w:sz w:val="28"/>
                <w:szCs w:val="28"/>
              </w:rPr>
              <w:t>10.因投标人的任何违约或者违法行为所产生纠纷的，采购人为处理纠纷而支出的合理开支（包括但不限于律师费、诉讼费、保函费、差旅费、调查取证费、公证费、鉴定费等）均由投标人承担。</w:t>
            </w:r>
          </w:p>
          <w:p w14:paraId="519CFDFC">
            <w:pPr>
              <w:widowControl/>
              <w:spacing w:line="360" w:lineRule="auto"/>
              <w:rPr>
                <w:sz w:val="28"/>
                <w:szCs w:val="28"/>
              </w:rPr>
            </w:pPr>
            <w:r>
              <w:rPr>
                <w:rFonts w:hint="eastAsia"/>
                <w:sz w:val="28"/>
                <w:szCs w:val="28"/>
              </w:rPr>
              <w:t>11.质保期：本项目所涉及的质量保证期按国家的规定执行。货物在质量保证期内投标人提供相应的包换、包退、包修等服务。投标人承诺所有货物的质保期为1年，质保期限自货物通过采购人组织的验收之日起算（若国家对本项目所涉及的质保期的规定高于本项目的要求，应按国家的规定执行）。在质保期内，如货物非因采购人原因而出现的质量问题由投标人负责保修、包换或包退，并承担修理、调换或退货的实际费用。投标人不能修复、调换或不能退货的，应退回相应货款，并承担相应的违约责任。</w:t>
            </w:r>
          </w:p>
          <w:p w14:paraId="291FDA78">
            <w:pPr>
              <w:widowControl/>
              <w:spacing w:line="360" w:lineRule="auto"/>
              <w:jc w:val="both"/>
              <w:rPr>
                <w:b/>
                <w:sz w:val="28"/>
                <w:szCs w:val="28"/>
              </w:rPr>
            </w:pPr>
            <w:r>
              <w:rPr>
                <w:b/>
                <w:sz w:val="28"/>
                <w:szCs w:val="28"/>
              </w:rPr>
              <w:t>2.违约责任：</w:t>
            </w:r>
          </w:p>
          <w:p w14:paraId="4B5F7A59">
            <w:pPr>
              <w:widowControl/>
              <w:spacing w:line="360" w:lineRule="auto"/>
              <w:rPr>
                <w:rFonts w:hint="eastAsia"/>
                <w:sz w:val="28"/>
                <w:szCs w:val="28"/>
              </w:rPr>
            </w:pPr>
            <w:r>
              <w:rPr>
                <w:sz w:val="28"/>
                <w:szCs w:val="28"/>
              </w:rPr>
              <w:t>（1）</w:t>
            </w:r>
            <w:r>
              <w:rPr>
                <w:sz w:val="28"/>
                <w:szCs w:val="28"/>
                <w:highlight w:val="none"/>
              </w:rPr>
              <w:t>对于供应不合格的、假冒伪劣、以次充好的商品，应无条件立即更换，并按国家相关法律要求进行赔偿，情节严重者移交相关执法部门处理。</w:t>
            </w:r>
            <w:r>
              <w:rPr>
                <w:rFonts w:hint="eastAsia"/>
                <w:sz w:val="28"/>
                <w:szCs w:val="28"/>
              </w:rPr>
              <w:t>供应商未能履行采购需求书和合同所定事项</w:t>
            </w:r>
            <w:r>
              <w:rPr>
                <w:sz w:val="28"/>
                <w:szCs w:val="28"/>
              </w:rPr>
              <w:t>,采购人退货后将记录在案，并对供应商</w:t>
            </w:r>
            <w:r>
              <w:rPr>
                <w:rFonts w:hint="eastAsia"/>
                <w:sz w:val="28"/>
                <w:szCs w:val="28"/>
              </w:rPr>
              <w:t>予以处罚，除要承担因此产生的一切费用和造成的一切损失外，情节严重的采购人有权单方面解除合同。采购人发现新购货物不能正常使用或未达到采购文件中要求的，供应商须无条件退换。</w:t>
            </w:r>
          </w:p>
          <w:p w14:paraId="3C619C98">
            <w:pPr>
              <w:widowControl/>
              <w:spacing w:line="360" w:lineRule="auto"/>
              <w:rPr>
                <w:sz w:val="28"/>
                <w:szCs w:val="28"/>
              </w:rPr>
            </w:pPr>
            <w:r>
              <w:rPr>
                <w:sz w:val="28"/>
                <w:szCs w:val="28"/>
              </w:rPr>
              <w:t>（</w:t>
            </w:r>
            <w:r>
              <w:rPr>
                <w:rFonts w:hint="eastAsia"/>
                <w:sz w:val="28"/>
                <w:szCs w:val="28"/>
                <w:lang w:val="en-US" w:eastAsia="zh-CN"/>
              </w:rPr>
              <w:t>2</w:t>
            </w:r>
            <w:r>
              <w:rPr>
                <w:sz w:val="28"/>
                <w:szCs w:val="28"/>
              </w:rPr>
              <w:t>）服务期限内，</w:t>
            </w:r>
            <w:r>
              <w:rPr>
                <w:rFonts w:hint="eastAsia"/>
                <w:sz w:val="28"/>
                <w:szCs w:val="28"/>
              </w:rPr>
              <w:t>若供应商出现三次以上，未在采购人要求的时间内响应的，采购人有权无条件取消其配送资格。</w:t>
            </w:r>
          </w:p>
          <w:p w14:paraId="77399C21">
            <w:pPr>
              <w:widowControl/>
              <w:spacing w:line="360" w:lineRule="auto"/>
              <w:rPr>
                <w:sz w:val="28"/>
                <w:szCs w:val="28"/>
              </w:rPr>
            </w:pPr>
            <w:r>
              <w:rPr>
                <w:rFonts w:hint="eastAsia"/>
                <w:sz w:val="28"/>
                <w:szCs w:val="28"/>
              </w:rPr>
              <w:t>（</w:t>
            </w:r>
            <w:r>
              <w:rPr>
                <w:rFonts w:hint="eastAsia"/>
                <w:sz w:val="28"/>
                <w:szCs w:val="28"/>
                <w:lang w:val="en-US" w:eastAsia="zh-CN"/>
              </w:rPr>
              <w:t>3</w:t>
            </w:r>
            <w:r>
              <w:rPr>
                <w:rFonts w:hint="eastAsia"/>
                <w:sz w:val="28"/>
                <w:szCs w:val="28"/>
              </w:rPr>
              <w:t>）若供应商无故不响应采购人，采购人有权取消供应商资格并解除合同。</w:t>
            </w:r>
          </w:p>
          <w:p w14:paraId="459BCD26">
            <w:pPr>
              <w:widowControl/>
              <w:spacing w:line="360" w:lineRule="auto"/>
              <w:rPr>
                <w:sz w:val="28"/>
                <w:szCs w:val="28"/>
              </w:rPr>
            </w:pPr>
            <w:r>
              <w:rPr>
                <w:sz w:val="28"/>
                <w:szCs w:val="28"/>
              </w:rPr>
              <w:t>（</w:t>
            </w:r>
            <w:r>
              <w:rPr>
                <w:rFonts w:hint="eastAsia"/>
                <w:sz w:val="28"/>
                <w:szCs w:val="28"/>
                <w:lang w:val="en-US" w:eastAsia="zh-CN"/>
              </w:rPr>
              <w:t>4</w:t>
            </w:r>
            <w:r>
              <w:rPr>
                <w:sz w:val="28"/>
                <w:szCs w:val="28"/>
              </w:rPr>
              <w:t>）</w:t>
            </w:r>
            <w:r>
              <w:rPr>
                <w:rFonts w:hint="eastAsia"/>
                <w:sz w:val="28"/>
                <w:szCs w:val="28"/>
              </w:rPr>
              <w:t>采购人有权对供应商供应的货物进行抽查，成交供应商不能按成交单价交付产品、不能提供与其承诺相符的服务及货物，存在违反采购文件或合同的行为，并且不予纠正的，采购人扣除产生费用的</w:t>
            </w:r>
            <w:r>
              <w:rPr>
                <w:rFonts w:hint="eastAsia"/>
                <w:sz w:val="28"/>
                <w:szCs w:val="28"/>
                <w:lang w:val="en-US" w:eastAsia="zh-CN"/>
              </w:rPr>
              <w:t>1</w:t>
            </w:r>
            <w:r>
              <w:rPr>
                <w:rFonts w:hint="eastAsia"/>
                <w:sz w:val="28"/>
                <w:szCs w:val="28"/>
              </w:rPr>
              <w:t>0%作为违约金，且有权书面通知供应商单方面解除合同。</w:t>
            </w:r>
          </w:p>
          <w:p w14:paraId="437C9332">
            <w:pPr>
              <w:widowControl/>
              <w:spacing w:line="360" w:lineRule="auto"/>
              <w:rPr>
                <w:rFonts w:hint="eastAsia"/>
                <w:sz w:val="28"/>
                <w:szCs w:val="28"/>
              </w:rPr>
            </w:pPr>
            <w:r>
              <w:rPr>
                <w:sz w:val="28"/>
                <w:szCs w:val="28"/>
              </w:rPr>
              <w:t>（</w:t>
            </w:r>
            <w:r>
              <w:rPr>
                <w:rFonts w:hint="eastAsia"/>
                <w:sz w:val="28"/>
                <w:szCs w:val="28"/>
                <w:lang w:val="en-US" w:eastAsia="zh-CN"/>
              </w:rPr>
              <w:t>5</w:t>
            </w:r>
            <w:r>
              <w:rPr>
                <w:sz w:val="28"/>
                <w:szCs w:val="28"/>
              </w:rPr>
              <w:t>）</w:t>
            </w:r>
            <w:r>
              <w:rPr>
                <w:rFonts w:hint="eastAsia"/>
                <w:sz w:val="28"/>
                <w:szCs w:val="28"/>
              </w:rPr>
              <w:t>对于因供应商违反合同约定而产生的费用、违约金以及赔偿金等款项，采购人均有权从应支付的费用中直接扣除，并且不足部分由供应商继续支付。</w:t>
            </w:r>
          </w:p>
          <w:p w14:paraId="06BB7338">
            <w:pPr>
              <w:pStyle w:val="2"/>
              <w:rPr>
                <w:rFonts w:hint="eastAsia"/>
                <w:sz w:val="28"/>
                <w:szCs w:val="28"/>
                <w:lang w:val="en-US" w:eastAsia="zh-CN"/>
              </w:rPr>
            </w:pPr>
            <w:r>
              <w:rPr>
                <w:rFonts w:hint="eastAsia"/>
                <w:sz w:val="28"/>
                <w:szCs w:val="28"/>
                <w:lang w:val="en-US" w:eastAsia="zh-CN"/>
              </w:rPr>
              <w:t>七：服务考核表</w:t>
            </w:r>
          </w:p>
          <w:p w14:paraId="5E39832F">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
                <w:bCs w:val="0"/>
                <w:color w:val="auto"/>
                <w:spacing w:val="10"/>
                <w:kern w:val="0"/>
                <w:sz w:val="21"/>
                <w:szCs w:val="21"/>
                <w:highlight w:val="none"/>
                <w:lang w:val="en-US" w:eastAsia="zh-CN" w:bidi="ar-SA"/>
              </w:rPr>
            </w:pPr>
            <w:r>
              <w:rPr>
                <w:rFonts w:hint="eastAsia" w:ascii="宋体" w:hAnsi="宋体" w:eastAsia="宋体" w:cs="宋体"/>
                <w:b/>
                <w:bCs w:val="0"/>
                <w:color w:val="auto"/>
                <w:spacing w:val="10"/>
                <w:kern w:val="0"/>
                <w:sz w:val="21"/>
                <w:szCs w:val="21"/>
                <w:highlight w:val="none"/>
                <w:lang w:val="en-US" w:eastAsia="zh-CN" w:bidi="ar-SA"/>
              </w:rPr>
              <w:t>服务考核表</w:t>
            </w:r>
          </w:p>
          <w:p w14:paraId="3540576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ind w:firstLine="460" w:firstLineChars="200"/>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项目名称：                        考核时间：</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29"/>
              <w:gridCol w:w="855"/>
              <w:gridCol w:w="4882"/>
              <w:gridCol w:w="878"/>
            </w:tblGrid>
            <w:tr w14:paraId="1B4C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007E936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序号</w:t>
                  </w:r>
                </w:p>
              </w:tc>
              <w:tc>
                <w:tcPr>
                  <w:tcW w:w="1729" w:type="dxa"/>
                  <w:noWrap w:val="0"/>
                  <w:vAlign w:val="center"/>
                </w:tcPr>
                <w:p w14:paraId="7F408D43">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评分项</w:t>
                  </w:r>
                </w:p>
              </w:tc>
              <w:tc>
                <w:tcPr>
                  <w:tcW w:w="855" w:type="dxa"/>
                  <w:noWrap w:val="0"/>
                  <w:vAlign w:val="center"/>
                </w:tcPr>
                <w:p w14:paraId="05FCA2EF">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分值</w:t>
                  </w:r>
                </w:p>
              </w:tc>
              <w:tc>
                <w:tcPr>
                  <w:tcW w:w="4882" w:type="dxa"/>
                  <w:noWrap w:val="0"/>
                  <w:vAlign w:val="center"/>
                </w:tcPr>
                <w:p w14:paraId="00F5B5A5">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考核细则</w:t>
                  </w:r>
                </w:p>
              </w:tc>
              <w:tc>
                <w:tcPr>
                  <w:tcW w:w="878" w:type="dxa"/>
                  <w:noWrap w:val="0"/>
                  <w:vAlign w:val="center"/>
                </w:tcPr>
                <w:p w14:paraId="787AD65B">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得分</w:t>
                  </w:r>
                </w:p>
              </w:tc>
            </w:tr>
            <w:tr w14:paraId="0CE5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05E80DFC">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w:t>
                  </w:r>
                </w:p>
              </w:tc>
              <w:tc>
                <w:tcPr>
                  <w:tcW w:w="1729" w:type="dxa"/>
                  <w:noWrap w:val="0"/>
                  <w:vAlign w:val="center"/>
                </w:tcPr>
                <w:p w14:paraId="63FBFB5B">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货物质量</w:t>
                  </w:r>
                </w:p>
              </w:tc>
              <w:tc>
                <w:tcPr>
                  <w:tcW w:w="855" w:type="dxa"/>
                  <w:noWrap w:val="0"/>
                  <w:vAlign w:val="center"/>
                </w:tcPr>
                <w:p w14:paraId="50BBA280">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20分</w:t>
                  </w:r>
                </w:p>
              </w:tc>
              <w:tc>
                <w:tcPr>
                  <w:tcW w:w="4882" w:type="dxa"/>
                  <w:noWrap w:val="0"/>
                  <w:vAlign w:val="center"/>
                </w:tcPr>
                <w:p w14:paraId="3ABC6AA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考核期内在使用部门随机抽取若干产品进行质量考核：</w:t>
                  </w:r>
                </w:p>
                <w:p w14:paraId="4880D6DB">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依据合同清单要求，对随机抽取的产品进行质量考核，全部符合要求的得20分；每发现一项不符合要求的扣5分，扣完为止。</w:t>
                  </w:r>
                </w:p>
              </w:tc>
              <w:tc>
                <w:tcPr>
                  <w:tcW w:w="878" w:type="dxa"/>
                  <w:noWrap w:val="0"/>
                  <w:vAlign w:val="center"/>
                </w:tcPr>
                <w:p w14:paraId="6F2537F8">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6A4C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5893C26">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2</w:t>
                  </w:r>
                </w:p>
              </w:tc>
              <w:tc>
                <w:tcPr>
                  <w:tcW w:w="1729" w:type="dxa"/>
                  <w:noWrap w:val="0"/>
                  <w:vAlign w:val="center"/>
                </w:tcPr>
                <w:p w14:paraId="7971D989">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配送时效</w:t>
                  </w:r>
                </w:p>
              </w:tc>
              <w:tc>
                <w:tcPr>
                  <w:tcW w:w="855" w:type="dxa"/>
                  <w:noWrap w:val="0"/>
                  <w:vAlign w:val="center"/>
                </w:tcPr>
                <w:p w14:paraId="452C2579">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20分</w:t>
                  </w:r>
                </w:p>
              </w:tc>
              <w:tc>
                <w:tcPr>
                  <w:tcW w:w="4882" w:type="dxa"/>
                  <w:noWrap w:val="0"/>
                  <w:vAlign w:val="center"/>
                </w:tcPr>
                <w:p w14:paraId="7275AC8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考核期内均按合同约定提供配送服务的得20分；</w:t>
                  </w:r>
                </w:p>
                <w:p w14:paraId="388D9462">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若有配送延误、服务响应延误、退换货延误等行为的，每发现一次扣5分，扣完为止。</w:t>
                  </w:r>
                </w:p>
              </w:tc>
              <w:tc>
                <w:tcPr>
                  <w:tcW w:w="878" w:type="dxa"/>
                  <w:noWrap w:val="0"/>
                  <w:vAlign w:val="center"/>
                </w:tcPr>
                <w:p w14:paraId="29142C97">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36F1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6EA87096">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3</w:t>
                  </w:r>
                </w:p>
              </w:tc>
              <w:tc>
                <w:tcPr>
                  <w:tcW w:w="1729" w:type="dxa"/>
                  <w:noWrap w:val="0"/>
                  <w:vAlign w:val="center"/>
                </w:tcPr>
                <w:p w14:paraId="5315048C">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配送准确性</w:t>
                  </w:r>
                </w:p>
              </w:tc>
              <w:tc>
                <w:tcPr>
                  <w:tcW w:w="855" w:type="dxa"/>
                  <w:noWrap w:val="0"/>
                  <w:vAlign w:val="center"/>
                </w:tcPr>
                <w:p w14:paraId="58EDA3C5">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20分</w:t>
                  </w:r>
                </w:p>
              </w:tc>
              <w:tc>
                <w:tcPr>
                  <w:tcW w:w="4882" w:type="dxa"/>
                  <w:noWrap w:val="0"/>
                  <w:vAlign w:val="center"/>
                </w:tcPr>
                <w:p w14:paraId="3240791C">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考核期内均按《采购订单》要求配送的得20分；若有数量短缺、规格不符、未配送至指定科室等行为的，每发现一次扣5分，扣完为止。</w:t>
                  </w:r>
                </w:p>
              </w:tc>
              <w:tc>
                <w:tcPr>
                  <w:tcW w:w="878" w:type="dxa"/>
                  <w:noWrap w:val="0"/>
                  <w:vAlign w:val="center"/>
                </w:tcPr>
                <w:p w14:paraId="5D027910">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0E35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4223EB79">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4</w:t>
                  </w:r>
                </w:p>
              </w:tc>
              <w:tc>
                <w:tcPr>
                  <w:tcW w:w="1729" w:type="dxa"/>
                  <w:noWrap w:val="0"/>
                  <w:vAlign w:val="center"/>
                </w:tcPr>
                <w:p w14:paraId="583D419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应急配送能力</w:t>
                  </w:r>
                </w:p>
              </w:tc>
              <w:tc>
                <w:tcPr>
                  <w:tcW w:w="855" w:type="dxa"/>
                  <w:noWrap w:val="0"/>
                  <w:vAlign w:val="center"/>
                </w:tcPr>
                <w:p w14:paraId="604FCDB6">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10分</w:t>
                  </w:r>
                </w:p>
              </w:tc>
              <w:tc>
                <w:tcPr>
                  <w:tcW w:w="4882" w:type="dxa"/>
                  <w:noWrap w:val="0"/>
                  <w:vAlign w:val="center"/>
                </w:tcPr>
                <w:p w14:paraId="03B619F9">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本考核期内未发生应急配送的</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10分；</w:t>
                  </w:r>
                </w:p>
                <w:p w14:paraId="1C1F06B5">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考核期内发生了应急配送，若有配送不及时、数量规格不符等行为的得0分。</w:t>
                  </w:r>
                </w:p>
              </w:tc>
              <w:tc>
                <w:tcPr>
                  <w:tcW w:w="878" w:type="dxa"/>
                  <w:noWrap w:val="0"/>
                  <w:vAlign w:val="center"/>
                </w:tcPr>
                <w:p w14:paraId="159DF45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5B99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233A3C7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5</w:t>
                  </w:r>
                </w:p>
              </w:tc>
              <w:tc>
                <w:tcPr>
                  <w:tcW w:w="1729" w:type="dxa"/>
                  <w:noWrap w:val="0"/>
                  <w:vAlign w:val="center"/>
                </w:tcPr>
                <w:p w14:paraId="2AF936C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售后服务能力</w:t>
                  </w:r>
                </w:p>
              </w:tc>
              <w:tc>
                <w:tcPr>
                  <w:tcW w:w="855" w:type="dxa"/>
                  <w:noWrap w:val="0"/>
                  <w:vAlign w:val="center"/>
                </w:tcPr>
                <w:p w14:paraId="74971E95">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10分</w:t>
                  </w:r>
                </w:p>
              </w:tc>
              <w:tc>
                <w:tcPr>
                  <w:tcW w:w="4882" w:type="dxa"/>
                  <w:noWrap w:val="0"/>
                  <w:vAlign w:val="center"/>
                </w:tcPr>
                <w:p w14:paraId="1265632C">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根据供</w:t>
                  </w:r>
                  <w:r>
                    <w:rPr>
                      <w:rFonts w:hint="eastAsia" w:hAnsi="宋体" w:cs="宋体"/>
                      <w:bCs/>
                      <w:color w:val="auto"/>
                      <w:spacing w:val="10"/>
                      <w:kern w:val="0"/>
                      <w:sz w:val="21"/>
                      <w:szCs w:val="21"/>
                      <w:highlight w:val="none"/>
                      <w:lang w:val="en-US" w:eastAsia="zh-CN" w:bidi="ar-SA"/>
                    </w:rPr>
                    <w:t>货</w:t>
                  </w:r>
                  <w:r>
                    <w:rPr>
                      <w:rFonts w:hint="eastAsia" w:ascii="宋体" w:hAnsi="宋体" w:eastAsia="宋体" w:cs="宋体"/>
                      <w:bCs/>
                      <w:color w:val="auto"/>
                      <w:spacing w:val="10"/>
                      <w:kern w:val="0"/>
                      <w:sz w:val="21"/>
                      <w:szCs w:val="21"/>
                      <w:highlight w:val="none"/>
                      <w:lang w:val="en-US" w:eastAsia="zh-CN" w:bidi="ar-SA"/>
                    </w:rPr>
                    <w:t>商售后服务能力进行综合</w:t>
                  </w:r>
                  <w:r>
                    <w:rPr>
                      <w:rFonts w:hint="eastAsia" w:hAnsi="宋体" w:cs="宋体"/>
                      <w:bCs/>
                      <w:color w:val="auto"/>
                      <w:spacing w:val="10"/>
                      <w:kern w:val="0"/>
                      <w:sz w:val="21"/>
                      <w:szCs w:val="21"/>
                      <w:highlight w:val="none"/>
                      <w:lang w:val="en-US" w:eastAsia="zh-CN" w:bidi="ar-SA"/>
                    </w:rPr>
                    <w:t>评分</w:t>
                  </w:r>
                  <w:r>
                    <w:rPr>
                      <w:rFonts w:hint="eastAsia" w:ascii="宋体" w:hAnsi="宋体" w:eastAsia="宋体" w:cs="宋体"/>
                      <w:bCs/>
                      <w:color w:val="auto"/>
                      <w:spacing w:val="10"/>
                      <w:kern w:val="0"/>
                      <w:sz w:val="21"/>
                      <w:szCs w:val="21"/>
                      <w:highlight w:val="none"/>
                      <w:lang w:val="en-US" w:eastAsia="zh-CN" w:bidi="ar-SA"/>
                    </w:rPr>
                    <w:t>：</w:t>
                  </w:r>
                </w:p>
                <w:p w14:paraId="256DE7C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优</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10分；良</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5分；差</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1分。</w:t>
                  </w:r>
                </w:p>
              </w:tc>
              <w:tc>
                <w:tcPr>
                  <w:tcW w:w="878" w:type="dxa"/>
                  <w:noWrap w:val="0"/>
                  <w:vAlign w:val="center"/>
                </w:tcPr>
                <w:p w14:paraId="36BBB337">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46B9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93C87B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6</w:t>
                  </w:r>
                </w:p>
              </w:tc>
              <w:tc>
                <w:tcPr>
                  <w:tcW w:w="1729" w:type="dxa"/>
                  <w:noWrap w:val="0"/>
                  <w:vAlign w:val="center"/>
                </w:tcPr>
                <w:p w14:paraId="78F962B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服务态度</w:t>
                  </w:r>
                </w:p>
              </w:tc>
              <w:tc>
                <w:tcPr>
                  <w:tcW w:w="855" w:type="dxa"/>
                  <w:noWrap w:val="0"/>
                  <w:vAlign w:val="center"/>
                </w:tcPr>
                <w:p w14:paraId="0A8A3DBB">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10分</w:t>
                  </w:r>
                </w:p>
              </w:tc>
              <w:tc>
                <w:tcPr>
                  <w:tcW w:w="4882" w:type="dxa"/>
                  <w:noWrap w:val="0"/>
                  <w:vAlign w:val="center"/>
                </w:tcPr>
                <w:p w14:paraId="276C6F87">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根据配送人员服务态度进行综合</w:t>
                  </w:r>
                  <w:r>
                    <w:rPr>
                      <w:rFonts w:hint="eastAsia" w:hAnsi="宋体" w:cs="宋体"/>
                      <w:bCs/>
                      <w:color w:val="auto"/>
                      <w:spacing w:val="10"/>
                      <w:kern w:val="0"/>
                      <w:sz w:val="21"/>
                      <w:szCs w:val="21"/>
                      <w:highlight w:val="none"/>
                      <w:lang w:val="en-US" w:eastAsia="zh-CN" w:bidi="ar-SA"/>
                    </w:rPr>
                    <w:t>评分</w:t>
                  </w:r>
                  <w:r>
                    <w:rPr>
                      <w:rFonts w:hint="eastAsia" w:ascii="宋体" w:hAnsi="宋体" w:eastAsia="宋体" w:cs="宋体"/>
                      <w:bCs/>
                      <w:color w:val="auto"/>
                      <w:spacing w:val="10"/>
                      <w:kern w:val="0"/>
                      <w:sz w:val="21"/>
                      <w:szCs w:val="21"/>
                      <w:highlight w:val="none"/>
                      <w:lang w:val="en-US" w:eastAsia="zh-CN" w:bidi="ar-SA"/>
                    </w:rPr>
                    <w:t>：</w:t>
                  </w:r>
                </w:p>
                <w:p w14:paraId="4F92A8E8">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优</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10分；良</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5分；差</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1分。</w:t>
                  </w:r>
                </w:p>
              </w:tc>
              <w:tc>
                <w:tcPr>
                  <w:tcW w:w="878" w:type="dxa"/>
                  <w:noWrap w:val="0"/>
                  <w:vAlign w:val="center"/>
                </w:tcPr>
                <w:p w14:paraId="0E4A4FA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7995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63036A53">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7</w:t>
                  </w:r>
                </w:p>
              </w:tc>
              <w:tc>
                <w:tcPr>
                  <w:tcW w:w="1729" w:type="dxa"/>
                  <w:noWrap w:val="0"/>
                  <w:vAlign w:val="center"/>
                </w:tcPr>
                <w:p w14:paraId="50019FE0">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服从院方管理</w:t>
                  </w:r>
                </w:p>
              </w:tc>
              <w:tc>
                <w:tcPr>
                  <w:tcW w:w="855" w:type="dxa"/>
                  <w:noWrap w:val="0"/>
                  <w:vAlign w:val="center"/>
                </w:tcPr>
                <w:p w14:paraId="6BA24184">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10分</w:t>
                  </w:r>
                </w:p>
              </w:tc>
              <w:tc>
                <w:tcPr>
                  <w:tcW w:w="4882" w:type="dxa"/>
                  <w:noWrap w:val="0"/>
                  <w:vAlign w:val="center"/>
                </w:tcPr>
                <w:p w14:paraId="2F110C2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根据供</w:t>
                  </w:r>
                  <w:r>
                    <w:rPr>
                      <w:rFonts w:hint="eastAsia" w:hAnsi="宋体" w:cs="宋体"/>
                      <w:bCs/>
                      <w:color w:val="auto"/>
                      <w:spacing w:val="10"/>
                      <w:kern w:val="0"/>
                      <w:sz w:val="21"/>
                      <w:szCs w:val="21"/>
                      <w:highlight w:val="none"/>
                      <w:lang w:val="en-US" w:eastAsia="zh-CN" w:bidi="ar-SA"/>
                    </w:rPr>
                    <w:t>货</w:t>
                  </w:r>
                  <w:r>
                    <w:rPr>
                      <w:rFonts w:hint="eastAsia" w:ascii="宋体" w:hAnsi="宋体" w:eastAsia="宋体" w:cs="宋体"/>
                      <w:bCs/>
                      <w:color w:val="auto"/>
                      <w:spacing w:val="10"/>
                      <w:kern w:val="0"/>
                      <w:sz w:val="21"/>
                      <w:szCs w:val="21"/>
                      <w:highlight w:val="none"/>
                      <w:lang w:val="en-US" w:eastAsia="zh-CN" w:bidi="ar-SA"/>
                    </w:rPr>
                    <w:t>商服从院方管理进行综合</w:t>
                  </w:r>
                  <w:r>
                    <w:rPr>
                      <w:rFonts w:hint="eastAsia" w:hAnsi="宋体" w:cs="宋体"/>
                      <w:bCs/>
                      <w:color w:val="auto"/>
                      <w:spacing w:val="10"/>
                      <w:kern w:val="0"/>
                      <w:sz w:val="21"/>
                      <w:szCs w:val="21"/>
                      <w:highlight w:val="none"/>
                      <w:lang w:val="en-US" w:eastAsia="zh-CN" w:bidi="ar-SA"/>
                    </w:rPr>
                    <w:t>评分</w:t>
                  </w:r>
                  <w:r>
                    <w:rPr>
                      <w:rFonts w:hint="eastAsia" w:ascii="宋体" w:hAnsi="宋体" w:eastAsia="宋体" w:cs="宋体"/>
                      <w:bCs/>
                      <w:color w:val="auto"/>
                      <w:spacing w:val="10"/>
                      <w:kern w:val="0"/>
                      <w:sz w:val="21"/>
                      <w:szCs w:val="21"/>
                      <w:highlight w:val="none"/>
                      <w:lang w:val="en-US" w:eastAsia="zh-CN" w:bidi="ar-SA"/>
                    </w:rPr>
                    <w:t>：</w:t>
                  </w:r>
                </w:p>
                <w:p w14:paraId="147CDD25">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left"/>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优</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10分；良</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5分；差</w:t>
                  </w:r>
                  <w:r>
                    <w:rPr>
                      <w:rFonts w:hint="eastAsia" w:hAnsi="宋体" w:cs="宋体"/>
                      <w:bCs/>
                      <w:color w:val="auto"/>
                      <w:spacing w:val="10"/>
                      <w:kern w:val="0"/>
                      <w:sz w:val="21"/>
                      <w:szCs w:val="21"/>
                      <w:highlight w:val="none"/>
                      <w:lang w:val="en-US" w:eastAsia="zh-CN" w:bidi="ar-SA"/>
                    </w:rPr>
                    <w:t>得</w:t>
                  </w:r>
                  <w:r>
                    <w:rPr>
                      <w:rFonts w:hint="eastAsia" w:ascii="宋体" w:hAnsi="宋体" w:eastAsia="宋体" w:cs="宋体"/>
                      <w:bCs/>
                      <w:color w:val="auto"/>
                      <w:spacing w:val="10"/>
                      <w:kern w:val="0"/>
                      <w:sz w:val="21"/>
                      <w:szCs w:val="21"/>
                      <w:highlight w:val="none"/>
                      <w:lang w:val="en-US" w:eastAsia="zh-CN" w:bidi="ar-SA"/>
                    </w:rPr>
                    <w:t>1分。</w:t>
                  </w:r>
                </w:p>
              </w:tc>
              <w:tc>
                <w:tcPr>
                  <w:tcW w:w="878" w:type="dxa"/>
                  <w:noWrap w:val="0"/>
                  <w:vAlign w:val="center"/>
                </w:tcPr>
                <w:p w14:paraId="28A9458F">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r w14:paraId="2CAA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251E6AED">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8</w:t>
                  </w:r>
                </w:p>
              </w:tc>
              <w:tc>
                <w:tcPr>
                  <w:tcW w:w="1729" w:type="dxa"/>
                  <w:noWrap w:val="0"/>
                  <w:vAlign w:val="center"/>
                </w:tcPr>
                <w:p w14:paraId="34E2D300">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汇总</w:t>
                  </w:r>
                </w:p>
              </w:tc>
              <w:tc>
                <w:tcPr>
                  <w:tcW w:w="855" w:type="dxa"/>
                  <w:noWrap w:val="0"/>
                  <w:vAlign w:val="center"/>
                </w:tcPr>
                <w:p w14:paraId="424EEDCC">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r>
                    <w:rPr>
                      <w:rFonts w:hint="eastAsia" w:ascii="宋体" w:hAnsi="宋体" w:eastAsia="宋体" w:cs="宋体"/>
                      <w:bCs/>
                      <w:color w:val="auto"/>
                      <w:spacing w:val="10"/>
                      <w:kern w:val="0"/>
                      <w:sz w:val="21"/>
                      <w:szCs w:val="21"/>
                      <w:highlight w:val="none"/>
                      <w:lang w:val="en-US" w:eastAsia="zh-CN" w:bidi="ar-SA"/>
                    </w:rPr>
                    <w:t>100分</w:t>
                  </w:r>
                </w:p>
              </w:tc>
              <w:tc>
                <w:tcPr>
                  <w:tcW w:w="4882" w:type="dxa"/>
                  <w:noWrap w:val="0"/>
                  <w:vAlign w:val="center"/>
                </w:tcPr>
                <w:p w14:paraId="5B6E62A1">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c>
                <w:tcPr>
                  <w:tcW w:w="878" w:type="dxa"/>
                  <w:noWrap w:val="0"/>
                  <w:vAlign w:val="center"/>
                </w:tcPr>
                <w:p w14:paraId="7509D2FA">
                  <w:pPr>
                    <w:keepNext w:val="0"/>
                    <w:keepLines w:val="0"/>
                    <w:pageBreakBefore w:val="0"/>
                    <w:widowControl w:val="0"/>
                    <w:kinsoku/>
                    <w:wordWrap/>
                    <w:overflowPunct/>
                    <w:topLinePunct w:val="0"/>
                    <w:autoSpaceDE/>
                    <w:autoSpaceDN/>
                    <w:bidi w:val="0"/>
                    <w:adjustRightInd/>
                    <w:snapToGrid/>
                    <w:spacing w:before="25" w:beforeLines="0" w:after="25" w:afterLines="0" w:line="360" w:lineRule="auto"/>
                    <w:jc w:val="center"/>
                    <w:textAlignment w:val="auto"/>
                    <w:rPr>
                      <w:rFonts w:hint="eastAsia" w:ascii="宋体" w:hAnsi="宋体" w:eastAsia="宋体" w:cs="宋体"/>
                      <w:bCs/>
                      <w:color w:val="auto"/>
                      <w:spacing w:val="10"/>
                      <w:kern w:val="0"/>
                      <w:sz w:val="21"/>
                      <w:szCs w:val="21"/>
                      <w:highlight w:val="none"/>
                      <w:lang w:val="en-US" w:eastAsia="zh-CN" w:bidi="ar-SA"/>
                    </w:rPr>
                  </w:pPr>
                </w:p>
              </w:tc>
            </w:tr>
          </w:tbl>
          <w:p w14:paraId="68CA56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考核要求：</w:t>
            </w:r>
          </w:p>
          <w:p w14:paraId="689933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eastAsia="zh-CN"/>
              </w:rPr>
              <w:t>《</w:t>
            </w:r>
            <w:r>
              <w:rPr>
                <w:rFonts w:hint="eastAsia" w:ascii="宋体" w:hAnsi="宋体" w:eastAsia="宋体" w:cs="宋体"/>
                <w:bCs w:val="0"/>
                <w:color w:val="auto"/>
                <w:spacing w:val="0"/>
                <w:kern w:val="2"/>
                <w:sz w:val="21"/>
                <w:szCs w:val="21"/>
                <w:highlight w:val="none"/>
                <w:lang w:val="en-US" w:eastAsia="zh-CN" w:bidi="ar-SA"/>
              </w:rPr>
              <w:t>服务考核表</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仅作为</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不定期进行考核</w:t>
            </w:r>
            <w:r>
              <w:rPr>
                <w:rFonts w:hint="eastAsia" w:hAnsi="宋体" w:cs="宋体"/>
                <w:color w:val="auto"/>
                <w:sz w:val="21"/>
                <w:szCs w:val="21"/>
                <w:highlight w:val="none"/>
                <w:lang w:val="en-US" w:eastAsia="zh-CN"/>
              </w:rPr>
              <w:t>的考核标准，采购人可根据供应商服务质量、任务完成情况定期调整</w:t>
            </w:r>
            <w:r>
              <w:rPr>
                <w:rFonts w:hint="eastAsia" w:ascii="宋体" w:hAnsi="宋体" w:eastAsia="宋体" w:cs="宋体"/>
                <w:color w:val="auto"/>
                <w:sz w:val="21"/>
                <w:szCs w:val="21"/>
                <w:highlight w:val="none"/>
              </w:rPr>
              <w:t>；</w:t>
            </w:r>
          </w:p>
          <w:p w14:paraId="5CBC93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定期对</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的服务质量进行考核，若</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在第一年度考核得分≥85分，双方应按照原合同约定继续履行各自义务，除法律法规另有规定或双方另有书面约定外，合同内容不变。若</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在第一年度考核得分＜85分，视为</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未通过年度考核，</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有权在第一年度服务期届满时单方解除本合同。</w:t>
            </w:r>
          </w:p>
          <w:p w14:paraId="12175CF8">
            <w:pPr>
              <w:widowControl/>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八</w:t>
            </w:r>
            <w:r>
              <w:rPr>
                <w:rFonts w:hint="eastAsia" w:ascii="黑体" w:hAnsi="黑体" w:eastAsia="黑体" w:cs="黑体"/>
                <w:kern w:val="0"/>
                <w:sz w:val="32"/>
                <w:szCs w:val="32"/>
                <w:lang w:eastAsia="zh-CN"/>
              </w:rPr>
              <w:t>）</w:t>
            </w:r>
            <w:r>
              <w:rPr>
                <w:rFonts w:hint="eastAsia" w:ascii="黑体" w:hAnsi="黑体" w:eastAsia="黑体" w:cs="黑体"/>
                <w:kern w:val="0"/>
                <w:sz w:val="32"/>
                <w:szCs w:val="32"/>
              </w:rPr>
              <w:t>样品要求</w:t>
            </w:r>
          </w:p>
          <w:p w14:paraId="4A377276">
            <w:pPr>
              <w:widowControl/>
              <w:ind w:firstLine="640" w:firstLineChars="200"/>
              <w:rPr>
                <w:rFonts w:ascii="仿宋" w:hAnsi="仿宋" w:eastAsia="仿宋" w:cs="仿宋"/>
                <w:sz w:val="32"/>
                <w:szCs w:val="32"/>
              </w:rPr>
            </w:pPr>
            <w:r>
              <w:rPr>
                <w:rFonts w:hint="eastAsia" w:ascii="仿宋" w:hAnsi="仿宋" w:eastAsia="仿宋" w:cs="仿宋"/>
                <w:sz w:val="32"/>
                <w:szCs w:val="32"/>
              </w:rPr>
              <w:t>1.本项目须提供样品，样品须与投标资料一起递交，超过投标截止时间之后的样品一律不接收。</w:t>
            </w:r>
          </w:p>
          <w:p w14:paraId="709CE365">
            <w:pPr>
              <w:widowControl/>
              <w:ind w:firstLine="640" w:firstLineChars="200"/>
              <w:rPr>
                <w:rFonts w:ascii="仿宋" w:hAnsi="仿宋" w:eastAsia="仿宋" w:cs="仿宋"/>
                <w:sz w:val="32"/>
                <w:szCs w:val="32"/>
              </w:rPr>
            </w:pPr>
            <w:r>
              <w:rPr>
                <w:rFonts w:hint="eastAsia" w:ascii="仿宋" w:hAnsi="仿宋" w:eastAsia="仿宋" w:cs="仿宋"/>
                <w:sz w:val="32"/>
                <w:szCs w:val="32"/>
              </w:rPr>
              <w:t>2.所有投标样品用非透明包装袋或箱子进行封装，封面必须清楚标明项目名称、投标人名称、样品的名称等相关信息，封条封面须加盖投标人公章。递交样品时须提供样品清单加盖投标人公章。</w:t>
            </w:r>
          </w:p>
          <w:p w14:paraId="1933ABAA">
            <w:pPr>
              <w:widowControl/>
              <w:ind w:firstLine="640" w:firstLineChars="200"/>
              <w:rPr>
                <w:rFonts w:ascii="仿宋" w:hAnsi="仿宋" w:eastAsia="仿宋" w:cs="仿宋"/>
                <w:sz w:val="32"/>
                <w:szCs w:val="32"/>
              </w:rPr>
            </w:pPr>
            <w:r>
              <w:rPr>
                <w:rFonts w:hint="eastAsia" w:ascii="仿宋" w:hAnsi="仿宋" w:eastAsia="仿宋" w:cs="仿宋"/>
                <w:sz w:val="32"/>
                <w:szCs w:val="32"/>
              </w:rPr>
              <w:t>3.评标过程中，必要时对样板作破坏性测试，对已进行破坏性测试的样板不作任何赔偿。</w:t>
            </w:r>
          </w:p>
          <w:p w14:paraId="04D60893">
            <w:pPr>
              <w:widowControl/>
              <w:ind w:firstLine="640" w:firstLineChars="200"/>
              <w:rPr>
                <w:rFonts w:ascii="仿宋" w:hAnsi="仿宋" w:eastAsia="仿宋" w:cs="仿宋"/>
                <w:sz w:val="32"/>
                <w:szCs w:val="32"/>
              </w:rPr>
            </w:pPr>
            <w:r>
              <w:rPr>
                <w:rFonts w:hint="eastAsia" w:ascii="仿宋" w:hAnsi="仿宋" w:eastAsia="仿宋" w:cs="仿宋"/>
                <w:sz w:val="32"/>
                <w:szCs w:val="32"/>
              </w:rPr>
              <w:t>4.在采购任务完结之后，中标人的样品应保存于珠海市妇幼保健院，作为实物样品。招标人对投标人所递交样品的包装污损不负任何责任。未中标的投标人可在发布采购结果公告之日起2个工作日内联系招标人取回投标样品，2个工作日后未取回样品，则视为自动放弃样品的所有权，招标人有权自行处置相关样品。</w:t>
            </w:r>
          </w:p>
          <w:p w14:paraId="48BE53CA">
            <w:pPr>
              <w:pStyle w:val="19"/>
              <w:ind w:firstLine="0" w:firstLineChars="0"/>
              <w:rPr>
                <w:b/>
                <w:bCs/>
                <w:sz w:val="24"/>
              </w:rPr>
            </w:pPr>
          </w:p>
          <w:p w14:paraId="39974EBB">
            <w:pPr>
              <w:pStyle w:val="6"/>
              <w:numPr>
                <w:ilvl w:val="0"/>
                <w:numId w:val="0"/>
              </w:numPr>
              <w:tabs>
                <w:tab w:val="left" w:pos="562"/>
                <w:tab w:val="left" w:pos="3372"/>
                <w:tab w:val="left" w:pos="3653"/>
              </w:tabs>
              <w:spacing w:before="62" w:beforeLines="20" w:after="62" w:afterLines="20" w:line="300" w:lineRule="auto"/>
              <w:rPr>
                <w:rFonts w:hint="eastAsia" w:ascii="Times New Roman" w:hAnsi="Times New Roman" w:eastAsia="宋体" w:cs="Times New Roman"/>
                <w:b/>
                <w:szCs w:val="21"/>
              </w:rPr>
            </w:pPr>
            <w:r>
              <w:rPr>
                <w:rFonts w:hint="eastAsia" w:cs="Times New Roman"/>
                <w:b/>
                <w:szCs w:val="21"/>
                <w:lang w:val="en-US" w:eastAsia="zh-CN"/>
              </w:rPr>
              <w:t>十一</w:t>
            </w:r>
            <w:r>
              <w:rPr>
                <w:rFonts w:hint="eastAsia" w:ascii="Times New Roman" w:hAnsi="Times New Roman" w:eastAsia="宋体" w:cs="Times New Roman"/>
                <w:b/>
                <w:szCs w:val="21"/>
                <w:lang w:val="en-US" w:eastAsia="zh-CN"/>
              </w:rPr>
              <w:t>、评审</w:t>
            </w:r>
            <w:r>
              <w:rPr>
                <w:rFonts w:hint="eastAsia" w:ascii="Times New Roman" w:hAnsi="Times New Roman" w:eastAsia="宋体" w:cs="Times New Roman"/>
                <w:b/>
                <w:szCs w:val="21"/>
              </w:rPr>
              <w:t>标准</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031"/>
              <w:gridCol w:w="842"/>
              <w:gridCol w:w="6117"/>
            </w:tblGrid>
            <w:tr w14:paraId="4CD0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75008BB1">
                  <w:pPr>
                    <w:spacing w:line="360" w:lineRule="auto"/>
                    <w:jc w:val="center"/>
                    <w:rPr>
                      <w:rFonts w:ascii="Times New Roman" w:hAnsi="宋体" w:eastAsia="宋体" w:cs="宋体"/>
                      <w:b/>
                      <w:szCs w:val="21"/>
                    </w:rPr>
                  </w:pPr>
                  <w:r>
                    <w:rPr>
                      <w:rFonts w:hint="eastAsia" w:ascii="Times New Roman" w:hAnsi="宋体" w:eastAsia="宋体" w:cs="宋体"/>
                      <w:b/>
                      <w:szCs w:val="21"/>
                    </w:rPr>
                    <w:t>序号</w:t>
                  </w:r>
                </w:p>
              </w:tc>
              <w:tc>
                <w:tcPr>
                  <w:tcW w:w="1061" w:type="pct"/>
                  <w:gridSpan w:val="2"/>
                  <w:tcBorders>
                    <w:top w:val="single" w:color="auto" w:sz="4" w:space="0"/>
                    <w:left w:val="single" w:color="auto" w:sz="4" w:space="0"/>
                    <w:bottom w:val="single" w:color="auto" w:sz="4" w:space="0"/>
                    <w:right w:val="single" w:color="auto" w:sz="4" w:space="0"/>
                  </w:tcBorders>
                  <w:noWrap w:val="0"/>
                  <w:vAlign w:val="center"/>
                </w:tcPr>
                <w:p w14:paraId="44D914B8">
                  <w:pPr>
                    <w:spacing w:line="360" w:lineRule="auto"/>
                    <w:jc w:val="center"/>
                    <w:rPr>
                      <w:rFonts w:ascii="Times New Roman" w:hAnsi="宋体" w:eastAsia="宋体" w:cs="宋体"/>
                      <w:b/>
                      <w:szCs w:val="21"/>
                    </w:rPr>
                  </w:pPr>
                  <w:r>
                    <w:rPr>
                      <w:rFonts w:hint="eastAsia" w:ascii="Times New Roman" w:hAnsi="宋体" w:eastAsia="宋体" w:cs="宋体"/>
                      <w:b/>
                      <w:szCs w:val="21"/>
                    </w:rPr>
                    <w:t>评审内容及分值</w:t>
                  </w:r>
                </w:p>
              </w:tc>
              <w:tc>
                <w:tcPr>
                  <w:tcW w:w="3465" w:type="pct"/>
                  <w:tcBorders>
                    <w:top w:val="single" w:color="auto" w:sz="4" w:space="0"/>
                    <w:left w:val="single" w:color="auto" w:sz="4" w:space="0"/>
                    <w:bottom w:val="single" w:color="auto" w:sz="4" w:space="0"/>
                    <w:right w:val="single" w:color="auto" w:sz="4" w:space="0"/>
                  </w:tcBorders>
                  <w:noWrap w:val="0"/>
                  <w:vAlign w:val="center"/>
                </w:tcPr>
                <w:p w14:paraId="260AA9E4">
                  <w:pPr>
                    <w:spacing w:line="360" w:lineRule="auto"/>
                    <w:ind w:firstLine="442" w:firstLineChars="200"/>
                    <w:jc w:val="center"/>
                    <w:rPr>
                      <w:rFonts w:ascii="Times New Roman" w:hAnsi="宋体" w:eastAsia="宋体" w:cs="宋体"/>
                      <w:b/>
                      <w:szCs w:val="21"/>
                    </w:rPr>
                  </w:pPr>
                  <w:r>
                    <w:rPr>
                      <w:rFonts w:hint="eastAsia" w:ascii="Times New Roman" w:hAnsi="宋体" w:eastAsia="宋体" w:cs="宋体"/>
                      <w:b/>
                      <w:szCs w:val="21"/>
                    </w:rPr>
                    <w:t>评分细则</w:t>
                  </w:r>
                </w:p>
              </w:tc>
            </w:tr>
            <w:tr w14:paraId="47E6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14:paraId="3106E055">
                  <w:pPr>
                    <w:spacing w:line="360" w:lineRule="auto"/>
                    <w:jc w:val="center"/>
                    <w:rPr>
                      <w:rFonts w:hint="eastAsia" w:ascii="Times New Roman" w:hAnsi="宋体" w:eastAsia="宋体" w:cs="宋体"/>
                      <w:b/>
                      <w:szCs w:val="21"/>
                    </w:rPr>
                  </w:pPr>
                  <w:r>
                    <w:rPr>
                      <w:rFonts w:hint="eastAsia" w:ascii="Times New Roman" w:hAnsi="宋体" w:eastAsia="宋体" w:cs="宋体"/>
                      <w:szCs w:val="21"/>
                    </w:rPr>
                    <w:t>1</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684A17D6">
                  <w:pPr>
                    <w:spacing w:line="360" w:lineRule="auto"/>
                    <w:jc w:val="center"/>
                    <w:rPr>
                      <w:rFonts w:hint="eastAsia" w:ascii="Times New Roman" w:hAnsi="宋体" w:eastAsia="宋体" w:cs="宋体"/>
                      <w:b/>
                      <w:szCs w:val="21"/>
                      <w:lang w:val="en-US" w:eastAsia="zh-CN"/>
                    </w:rPr>
                  </w:pPr>
                  <w:r>
                    <w:rPr>
                      <w:rFonts w:hint="eastAsia" w:ascii="Times New Roman" w:hAnsi="宋体" w:eastAsia="宋体" w:cs="宋体"/>
                      <w:b w:val="0"/>
                      <w:bCs/>
                      <w:szCs w:val="21"/>
                      <w:lang w:val="en-US" w:eastAsia="zh-CN"/>
                    </w:rPr>
                    <w:t>相关业绩</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5218129F">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3465" w:type="pct"/>
                  <w:tcBorders>
                    <w:top w:val="single" w:color="auto" w:sz="4" w:space="0"/>
                    <w:left w:val="single" w:color="auto" w:sz="4" w:space="0"/>
                    <w:bottom w:val="single" w:color="auto" w:sz="4" w:space="0"/>
                    <w:right w:val="single" w:color="auto" w:sz="4" w:space="0"/>
                  </w:tcBorders>
                  <w:noWrap w:val="0"/>
                  <w:vAlign w:val="center"/>
                </w:tcPr>
                <w:p w14:paraId="5756DC4C">
                  <w:pPr>
                    <w:spacing w:line="360" w:lineRule="auto"/>
                    <w:jc w:val="both"/>
                    <w:rPr>
                      <w:rFonts w:hint="eastAsia" w:ascii="Times New Roman" w:hAnsi="宋体" w:eastAsia="宋体" w:cs="宋体"/>
                      <w:b w:val="0"/>
                      <w:bCs/>
                      <w:szCs w:val="21"/>
                      <w:lang w:val="en-US" w:eastAsia="zh-CN"/>
                    </w:rPr>
                  </w:pPr>
                  <w:r>
                    <w:rPr>
                      <w:rFonts w:hint="eastAsia" w:ascii="Times New Roman" w:hAnsi="宋体" w:eastAsia="宋体" w:cs="宋体"/>
                      <w:b/>
                      <w:szCs w:val="21"/>
                      <w:lang w:val="en-US" w:eastAsia="zh-CN"/>
                    </w:rPr>
                    <w:t xml:space="preserve">  </w:t>
                  </w:r>
                  <w:r>
                    <w:rPr>
                      <w:rFonts w:hint="eastAsia" w:ascii="Times New Roman" w:hAnsi="宋体" w:eastAsia="宋体" w:cs="宋体"/>
                      <w:b w:val="0"/>
                      <w:bCs/>
                      <w:szCs w:val="21"/>
                      <w:lang w:val="en-US" w:eastAsia="zh-CN"/>
                    </w:rPr>
                    <w:t>根据投标人自2024年01月01日以来承接过同类业绩的情况进行评分，每个业绩合同得2分，本项满分10分。</w:t>
                  </w:r>
                </w:p>
                <w:p w14:paraId="67EA5DFF">
                  <w:pPr>
                    <w:pStyle w:val="2"/>
                    <w:rPr>
                      <w:rFonts w:hint="default"/>
                      <w:lang w:val="en-US" w:eastAsia="zh-CN"/>
                    </w:rPr>
                  </w:pPr>
                </w:p>
              </w:tc>
            </w:tr>
            <w:tr w14:paraId="340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473" w:type="pct"/>
                  <w:tcBorders>
                    <w:top w:val="single" w:color="auto" w:sz="4" w:space="0"/>
                    <w:left w:val="single" w:color="auto" w:sz="4" w:space="0"/>
                    <w:right w:val="single" w:color="auto" w:sz="4" w:space="0"/>
                  </w:tcBorders>
                  <w:noWrap w:val="0"/>
                  <w:vAlign w:val="center"/>
                </w:tcPr>
                <w:p w14:paraId="0EBD387C">
                  <w:pPr>
                    <w:spacing w:line="360" w:lineRule="auto"/>
                    <w:jc w:val="center"/>
                    <w:rPr>
                      <w:rFonts w:ascii="Times New Roman" w:hAnsi="宋体" w:eastAsia="宋体" w:cs="宋体"/>
                      <w:szCs w:val="21"/>
                    </w:rPr>
                  </w:pPr>
                  <w:r>
                    <w:rPr>
                      <w:rFonts w:hint="eastAsia" w:ascii="Times New Roman" w:hAnsi="宋体" w:eastAsia="宋体" w:cs="宋体"/>
                      <w:szCs w:val="21"/>
                    </w:rPr>
                    <w:t>2</w:t>
                  </w:r>
                </w:p>
              </w:tc>
              <w:tc>
                <w:tcPr>
                  <w:tcW w:w="584" w:type="pct"/>
                  <w:tcBorders>
                    <w:top w:val="single" w:color="auto" w:sz="4" w:space="0"/>
                    <w:left w:val="single" w:color="auto" w:sz="4" w:space="0"/>
                    <w:right w:val="single" w:color="auto" w:sz="4" w:space="0"/>
                  </w:tcBorders>
                  <w:noWrap w:val="0"/>
                  <w:vAlign w:val="center"/>
                </w:tcPr>
                <w:p w14:paraId="73F37E74">
                  <w:pPr>
                    <w:spacing w:line="360" w:lineRule="auto"/>
                    <w:jc w:val="center"/>
                    <w:rPr>
                      <w:rFonts w:hint="eastAsia" w:ascii="Times New Roman" w:hAnsi="宋体" w:eastAsia="宋体" w:cs="宋体"/>
                      <w:szCs w:val="21"/>
                      <w:lang w:val="en-US" w:eastAsia="zh-CN"/>
                    </w:rPr>
                  </w:pPr>
                  <w:r>
                    <w:rPr>
                      <w:rFonts w:hint="eastAsia" w:ascii="Times New Roman" w:hAnsi="宋体" w:eastAsia="宋体" w:cs="宋体"/>
                      <w:szCs w:val="21"/>
                      <w:lang w:val="en-US" w:eastAsia="zh-CN"/>
                    </w:rPr>
                    <w:t>价格</w:t>
                  </w:r>
                </w:p>
              </w:tc>
              <w:tc>
                <w:tcPr>
                  <w:tcW w:w="477" w:type="pct"/>
                  <w:tcBorders>
                    <w:top w:val="single" w:color="auto" w:sz="4" w:space="0"/>
                    <w:left w:val="single" w:color="auto" w:sz="4" w:space="0"/>
                    <w:right w:val="single" w:color="auto" w:sz="4" w:space="0"/>
                  </w:tcBorders>
                  <w:noWrap w:val="0"/>
                  <w:vAlign w:val="center"/>
                </w:tcPr>
                <w:p w14:paraId="1C4C0E74">
                  <w:pPr>
                    <w:spacing w:line="360" w:lineRule="auto"/>
                    <w:jc w:val="center"/>
                    <w:rPr>
                      <w:rFonts w:hint="default" w:ascii="Times New Roman" w:hAnsi="宋体" w:eastAsia="宋体" w:cs="宋体"/>
                      <w:szCs w:val="21"/>
                      <w:lang w:val="en-US" w:eastAsia="zh-CN"/>
                    </w:rPr>
                  </w:pPr>
                  <w:r>
                    <w:rPr>
                      <w:rFonts w:hint="eastAsia" w:hAnsi="宋体" w:cs="宋体"/>
                      <w:szCs w:val="21"/>
                      <w:lang w:val="en-US" w:eastAsia="zh-CN"/>
                    </w:rPr>
                    <w:t>60</w:t>
                  </w:r>
                </w:p>
              </w:tc>
              <w:tc>
                <w:tcPr>
                  <w:tcW w:w="3465" w:type="pct"/>
                  <w:tcBorders>
                    <w:top w:val="single" w:color="auto" w:sz="4" w:space="0"/>
                    <w:left w:val="single" w:color="auto" w:sz="4" w:space="0"/>
                    <w:right w:val="single" w:color="auto" w:sz="4" w:space="0"/>
                  </w:tcBorders>
                  <w:noWrap w:val="0"/>
                  <w:vAlign w:val="top"/>
                </w:tcPr>
                <w:p w14:paraId="5ADBEF41">
                  <w:pPr>
                    <w:spacing w:line="360" w:lineRule="auto"/>
                    <w:rPr>
                      <w:rFonts w:hint="default" w:ascii="Times New Roman" w:hAnsi="宋体" w:eastAsia="宋体" w:cs="宋体"/>
                      <w:szCs w:val="21"/>
                      <w:lang w:val="en-US" w:eastAsia="zh-CN"/>
                    </w:rPr>
                  </w:pPr>
                  <w:r>
                    <w:rPr>
                      <w:rFonts w:hint="eastAsia" w:ascii="Times New Roman" w:hAnsi="宋体" w:eastAsia="宋体" w:cs="宋体"/>
                      <w:szCs w:val="21"/>
                      <w:lang w:val="en-US" w:eastAsia="zh-CN"/>
                    </w:rPr>
                    <w:t>满足招标文件要求且投标价格最低的投标报价为评标基准价。其他投标人的价格分统一按照下列公式计算：投标报价得分=（评标基准价/投标报价）×60</w:t>
                  </w:r>
                </w:p>
              </w:tc>
            </w:tr>
            <w:tr w14:paraId="68D5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473" w:type="pct"/>
                  <w:tcBorders>
                    <w:top w:val="single" w:color="auto" w:sz="4" w:space="0"/>
                    <w:left w:val="single" w:color="auto" w:sz="4" w:space="0"/>
                    <w:right w:val="single" w:color="auto" w:sz="4" w:space="0"/>
                  </w:tcBorders>
                  <w:noWrap w:val="0"/>
                  <w:vAlign w:val="center"/>
                </w:tcPr>
                <w:p w14:paraId="00386FEF">
                  <w:pPr>
                    <w:spacing w:line="360" w:lineRule="auto"/>
                    <w:jc w:val="center"/>
                    <w:rPr>
                      <w:rFonts w:hint="default" w:ascii="Times New Roman" w:hAnsi="宋体" w:eastAsia="宋体" w:cs="宋体"/>
                      <w:szCs w:val="21"/>
                      <w:lang w:val="en-US" w:eastAsia="zh-CN"/>
                    </w:rPr>
                  </w:pPr>
                  <w:r>
                    <w:rPr>
                      <w:rFonts w:hint="eastAsia" w:ascii="Times New Roman" w:hAnsi="宋体" w:eastAsia="宋体" w:cs="宋体"/>
                      <w:szCs w:val="21"/>
                      <w:lang w:val="en-US" w:eastAsia="zh-CN"/>
                    </w:rPr>
                    <w:t>3</w:t>
                  </w:r>
                </w:p>
              </w:tc>
              <w:tc>
                <w:tcPr>
                  <w:tcW w:w="584" w:type="pct"/>
                  <w:tcBorders>
                    <w:top w:val="single" w:color="auto" w:sz="4" w:space="0"/>
                    <w:left w:val="single" w:color="auto" w:sz="4" w:space="0"/>
                    <w:right w:val="single" w:color="auto" w:sz="4" w:space="0"/>
                  </w:tcBorders>
                  <w:noWrap w:val="0"/>
                  <w:vAlign w:val="center"/>
                </w:tcPr>
                <w:p w14:paraId="3544C2AB">
                  <w:pPr>
                    <w:spacing w:line="360" w:lineRule="auto"/>
                    <w:rPr>
                      <w:rFonts w:hint="default" w:ascii="Times New Roman" w:hAnsi="Times New Roman" w:eastAsia="宋体" w:cs="Times New Roman"/>
                      <w:lang w:val="en-US" w:eastAsia="zh-CN"/>
                    </w:rPr>
                  </w:pPr>
                  <w:r>
                    <w:rPr>
                      <w:rFonts w:hint="eastAsia" w:cs="Times New Roman"/>
                      <w:lang w:val="en-US" w:eastAsia="zh-CN"/>
                    </w:rPr>
                    <w:t>样品质量</w:t>
                  </w:r>
                </w:p>
              </w:tc>
              <w:tc>
                <w:tcPr>
                  <w:tcW w:w="477" w:type="pct"/>
                  <w:tcBorders>
                    <w:top w:val="single" w:color="auto" w:sz="4" w:space="0"/>
                    <w:left w:val="single" w:color="auto" w:sz="4" w:space="0"/>
                    <w:right w:val="single" w:color="auto" w:sz="4" w:space="0"/>
                  </w:tcBorders>
                  <w:noWrap w:val="0"/>
                  <w:vAlign w:val="center"/>
                </w:tcPr>
                <w:p w14:paraId="77AE707B">
                  <w:pPr>
                    <w:spacing w:line="360" w:lineRule="auto"/>
                    <w:jc w:val="center"/>
                    <w:rPr>
                      <w:rFonts w:hint="default" w:ascii="Times New Roman" w:hAnsi="宋体" w:eastAsia="宋体" w:cs="宋体"/>
                      <w:szCs w:val="21"/>
                      <w:lang w:val="en-US" w:eastAsia="zh-CN"/>
                    </w:rPr>
                  </w:pPr>
                  <w:r>
                    <w:rPr>
                      <w:rFonts w:hint="eastAsia" w:hAnsi="宋体" w:cs="宋体"/>
                      <w:szCs w:val="21"/>
                      <w:lang w:val="en-US" w:eastAsia="zh-CN"/>
                    </w:rPr>
                    <w:t>15</w:t>
                  </w:r>
                </w:p>
              </w:tc>
              <w:tc>
                <w:tcPr>
                  <w:tcW w:w="3465" w:type="pct"/>
                  <w:tcBorders>
                    <w:top w:val="single" w:color="auto" w:sz="4" w:space="0"/>
                    <w:left w:val="single" w:color="auto" w:sz="4" w:space="0"/>
                    <w:right w:val="single" w:color="auto" w:sz="4" w:space="0"/>
                  </w:tcBorders>
                  <w:noWrap w:val="0"/>
                  <w:vAlign w:val="top"/>
                </w:tcPr>
                <w:p w14:paraId="4979F871">
                  <w:pPr>
                    <w:pStyle w:val="2"/>
                    <w:rPr>
                      <w:rFonts w:hint="default"/>
                      <w:lang w:val="en-US" w:eastAsia="zh-CN"/>
                    </w:rPr>
                  </w:pPr>
                  <w:r>
                    <w:rPr>
                      <w:rFonts w:hint="eastAsia"/>
                      <w:lang w:val="en-US" w:eastAsia="zh-CN"/>
                    </w:rPr>
                    <w:t>符合需求所有参数15分；否则符合一项得2分，以此类推。</w:t>
                  </w:r>
                </w:p>
                <w:p w14:paraId="74BD7807">
                  <w:pPr>
                    <w:pStyle w:val="2"/>
                    <w:rPr>
                      <w:rFonts w:hint="default"/>
                      <w:lang w:val="en-US" w:eastAsia="zh-CN"/>
                    </w:rPr>
                  </w:pPr>
                  <w:bookmarkStart w:id="0" w:name="_GoBack"/>
                  <w:bookmarkEnd w:id="0"/>
                </w:p>
              </w:tc>
            </w:tr>
            <w:tr w14:paraId="1BB4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473" w:type="pct"/>
                  <w:tcBorders>
                    <w:top w:val="single" w:color="auto" w:sz="4" w:space="0"/>
                    <w:left w:val="single" w:color="auto" w:sz="4" w:space="0"/>
                    <w:right w:val="single" w:color="auto" w:sz="4" w:space="0"/>
                  </w:tcBorders>
                  <w:noWrap w:val="0"/>
                  <w:vAlign w:val="center"/>
                </w:tcPr>
                <w:p w14:paraId="42D08F98">
                  <w:pPr>
                    <w:spacing w:line="360" w:lineRule="auto"/>
                    <w:jc w:val="center"/>
                    <w:rPr>
                      <w:rFonts w:hint="default" w:ascii="Times New Roman" w:hAnsi="宋体" w:eastAsia="宋体" w:cs="宋体"/>
                      <w:szCs w:val="21"/>
                      <w:lang w:val="en-US" w:eastAsia="zh-CN"/>
                    </w:rPr>
                  </w:pPr>
                  <w:r>
                    <w:rPr>
                      <w:rFonts w:hint="eastAsia" w:ascii="Times New Roman" w:hAnsi="宋体" w:eastAsia="宋体" w:cs="宋体"/>
                      <w:szCs w:val="21"/>
                      <w:lang w:val="en-US" w:eastAsia="zh-CN"/>
                    </w:rPr>
                    <w:t>4</w:t>
                  </w:r>
                </w:p>
              </w:tc>
              <w:tc>
                <w:tcPr>
                  <w:tcW w:w="584" w:type="pct"/>
                  <w:tcBorders>
                    <w:top w:val="single" w:color="auto" w:sz="4" w:space="0"/>
                    <w:left w:val="single" w:color="auto" w:sz="4" w:space="0"/>
                    <w:right w:val="single" w:color="auto" w:sz="4" w:space="0"/>
                  </w:tcBorders>
                  <w:noWrap w:val="0"/>
                  <w:vAlign w:val="center"/>
                </w:tcPr>
                <w:p w14:paraId="6F23E6AE">
                  <w:pPr>
                    <w:spacing w:line="360"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售后服务</w:t>
                  </w:r>
                </w:p>
              </w:tc>
              <w:tc>
                <w:tcPr>
                  <w:tcW w:w="477" w:type="pct"/>
                  <w:tcBorders>
                    <w:top w:val="single" w:color="auto" w:sz="4" w:space="0"/>
                    <w:left w:val="single" w:color="auto" w:sz="4" w:space="0"/>
                    <w:right w:val="single" w:color="auto" w:sz="4" w:space="0"/>
                  </w:tcBorders>
                  <w:noWrap w:val="0"/>
                  <w:vAlign w:val="center"/>
                </w:tcPr>
                <w:p w14:paraId="349A1ED0">
                  <w:pPr>
                    <w:spacing w:line="360" w:lineRule="auto"/>
                    <w:jc w:val="center"/>
                    <w:rPr>
                      <w:rFonts w:hint="default" w:ascii="Times New Roman" w:hAnsi="宋体" w:eastAsia="宋体" w:cs="宋体"/>
                      <w:szCs w:val="21"/>
                      <w:lang w:val="en-US" w:eastAsia="zh-CN"/>
                    </w:rPr>
                  </w:pPr>
                  <w:r>
                    <w:rPr>
                      <w:rFonts w:hint="eastAsia" w:hAnsi="宋体" w:cs="宋体"/>
                      <w:szCs w:val="21"/>
                      <w:lang w:val="en-US" w:eastAsia="zh-CN"/>
                    </w:rPr>
                    <w:t>15</w:t>
                  </w:r>
                </w:p>
              </w:tc>
              <w:tc>
                <w:tcPr>
                  <w:tcW w:w="3465" w:type="pct"/>
                  <w:tcBorders>
                    <w:top w:val="single" w:color="auto" w:sz="4" w:space="0"/>
                    <w:left w:val="single" w:color="auto" w:sz="4" w:space="0"/>
                    <w:right w:val="single" w:color="auto" w:sz="4" w:space="0"/>
                  </w:tcBorders>
                  <w:noWrap w:val="0"/>
                  <w:vAlign w:val="top"/>
                </w:tcPr>
                <w:p w14:paraId="20F4997A">
                  <w:pPr>
                    <w:pStyle w:val="23"/>
                    <w:rPr>
                      <w:rFonts w:ascii="宋体" w:hAnsi="宋体" w:cs="宋体"/>
                      <w:sz w:val="21"/>
                      <w:szCs w:val="21"/>
                    </w:rPr>
                  </w:pPr>
                  <w:r>
                    <w:rPr>
                      <w:rFonts w:hint="eastAsia" w:ascii="宋体" w:hAnsi="宋体" w:cs="宋体"/>
                      <w:sz w:val="21"/>
                      <w:szCs w:val="21"/>
                    </w:rPr>
                    <w:t>根据供应商售后服务能力进行综合打分：</w:t>
                  </w:r>
                </w:p>
                <w:p w14:paraId="73B8674C">
                  <w:pPr>
                    <w:pStyle w:val="2"/>
                    <w:numPr>
                      <w:ilvl w:val="0"/>
                      <w:numId w:val="0"/>
                    </w:numPr>
                    <w:rPr>
                      <w:rFonts w:hint="default"/>
                      <w:lang w:val="en-US" w:eastAsia="zh-CN"/>
                    </w:rPr>
                  </w:pPr>
                  <w:r>
                    <w:rPr>
                      <w:rFonts w:hint="eastAsia" w:ascii="宋体" w:hAnsi="宋体" w:cs="宋体"/>
                      <w:sz w:val="21"/>
                      <w:szCs w:val="21"/>
                    </w:rPr>
                    <w:t>优：</w:t>
                  </w:r>
                  <w:r>
                    <w:rPr>
                      <w:rFonts w:hint="eastAsia" w:ascii="宋体" w:hAnsi="宋体" w:cs="宋体"/>
                      <w:sz w:val="21"/>
                      <w:szCs w:val="21"/>
                      <w:lang w:val="en-US" w:eastAsia="zh-CN"/>
                    </w:rPr>
                    <w:t>15</w:t>
                  </w:r>
                  <w:r>
                    <w:rPr>
                      <w:rFonts w:hint="eastAsia" w:ascii="宋体" w:hAnsi="宋体" w:cs="宋体"/>
                      <w:sz w:val="21"/>
                      <w:szCs w:val="21"/>
                    </w:rPr>
                    <w:t>分；良：</w:t>
                  </w:r>
                  <w:r>
                    <w:rPr>
                      <w:rFonts w:hint="eastAsia" w:ascii="宋体" w:hAnsi="宋体" w:cs="宋体"/>
                      <w:sz w:val="21"/>
                      <w:szCs w:val="21"/>
                      <w:lang w:val="en-US" w:eastAsia="zh-CN"/>
                    </w:rPr>
                    <w:t>10</w:t>
                  </w:r>
                  <w:r>
                    <w:rPr>
                      <w:rFonts w:hint="eastAsia" w:ascii="宋体" w:hAnsi="宋体" w:cs="宋体"/>
                      <w:sz w:val="21"/>
                      <w:szCs w:val="21"/>
                    </w:rPr>
                    <w:t>分；差</w:t>
                  </w:r>
                  <w:r>
                    <w:rPr>
                      <w:rFonts w:hint="eastAsia" w:ascii="宋体" w:hAnsi="宋体" w:cs="宋体"/>
                      <w:sz w:val="21"/>
                      <w:szCs w:val="21"/>
                      <w:lang w:val="en-US" w:eastAsia="zh-CN"/>
                    </w:rPr>
                    <w:t>5</w:t>
                  </w:r>
                  <w:r>
                    <w:rPr>
                      <w:rFonts w:hint="eastAsia" w:ascii="宋体" w:hAnsi="宋体" w:cs="宋体"/>
                      <w:sz w:val="21"/>
                      <w:szCs w:val="21"/>
                    </w:rPr>
                    <w:t>分。</w:t>
                  </w:r>
                </w:p>
              </w:tc>
            </w:tr>
            <w:tr w14:paraId="4CB0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534" w:type="pct"/>
                  <w:gridSpan w:val="3"/>
                  <w:tcBorders>
                    <w:left w:val="single" w:color="auto" w:sz="4" w:space="0"/>
                    <w:right w:val="single" w:color="auto" w:sz="4" w:space="0"/>
                  </w:tcBorders>
                  <w:noWrap w:val="0"/>
                  <w:vAlign w:val="center"/>
                </w:tcPr>
                <w:p w14:paraId="08997A40">
                  <w:pPr>
                    <w:spacing w:line="360" w:lineRule="auto"/>
                    <w:jc w:val="center"/>
                    <w:rPr>
                      <w:rFonts w:hint="eastAsia" w:ascii="Times New Roman" w:hAnsi="宋体" w:eastAsia="宋体" w:cs="宋体"/>
                      <w:szCs w:val="21"/>
                    </w:rPr>
                  </w:pPr>
                  <w:r>
                    <w:rPr>
                      <w:rFonts w:hint="eastAsia" w:ascii="Times New Roman" w:hAnsi="宋体" w:eastAsia="宋体" w:cs="宋体"/>
                      <w:szCs w:val="21"/>
                    </w:rPr>
                    <w:t>合计</w:t>
                  </w:r>
                </w:p>
              </w:tc>
              <w:tc>
                <w:tcPr>
                  <w:tcW w:w="3465" w:type="pct"/>
                  <w:tcBorders>
                    <w:top w:val="single" w:color="auto" w:sz="4" w:space="0"/>
                    <w:left w:val="single" w:color="auto" w:sz="4" w:space="0"/>
                    <w:right w:val="single" w:color="auto" w:sz="4" w:space="0"/>
                  </w:tcBorders>
                  <w:noWrap w:val="0"/>
                  <w:vAlign w:val="top"/>
                </w:tcPr>
                <w:p w14:paraId="20297C7B">
                  <w:pPr>
                    <w:spacing w:line="360" w:lineRule="auto"/>
                    <w:jc w:val="center"/>
                    <w:rPr>
                      <w:rFonts w:ascii="宋体" w:hAnsi="宋体" w:eastAsia="宋体" w:cs="宋体"/>
                      <w:color w:val="000000"/>
                    </w:rPr>
                  </w:pPr>
                  <w:r>
                    <w:rPr>
                      <w:rFonts w:hint="eastAsia" w:ascii="宋体" w:hAnsi="宋体" w:eastAsia="宋体" w:cs="宋体"/>
                      <w:color w:val="000000"/>
                      <w:lang w:val="en-US" w:eastAsia="zh-CN"/>
                    </w:rPr>
                    <w:t>10</w:t>
                  </w:r>
                  <w:r>
                    <w:rPr>
                      <w:rFonts w:hint="eastAsia" w:ascii="宋体" w:hAnsi="宋体" w:eastAsia="宋体" w:cs="宋体"/>
                      <w:color w:val="000000"/>
                    </w:rPr>
                    <w:t>0分</w:t>
                  </w:r>
                </w:p>
              </w:tc>
            </w:tr>
          </w:tbl>
          <w:p w14:paraId="3B7B5FBD">
            <w:pPr>
              <w:pStyle w:val="19"/>
              <w:ind w:firstLine="0" w:firstLineChars="0"/>
              <w:rPr>
                <w:b/>
                <w:bCs/>
                <w:sz w:val="24"/>
              </w:rPr>
            </w:pPr>
          </w:p>
          <w:p w14:paraId="1A52BDAA">
            <w:pPr>
              <w:pStyle w:val="2"/>
              <w:rPr>
                <w:rFonts w:hint="default"/>
                <w:sz w:val="28"/>
                <w:szCs w:val="28"/>
                <w:lang w:val="en-US" w:eastAsia="zh-CN"/>
              </w:rPr>
            </w:pPr>
          </w:p>
          <w:p w14:paraId="73DB178F">
            <w:pPr>
              <w:widowControl/>
              <w:spacing w:line="360" w:lineRule="auto"/>
              <w:jc w:val="both"/>
              <w:rPr>
                <w:sz w:val="28"/>
                <w:szCs w:val="28"/>
              </w:rPr>
            </w:pPr>
          </w:p>
          <w:p w14:paraId="662CCCDD">
            <w:pPr>
              <w:pStyle w:val="8"/>
              <w:tabs>
                <w:tab w:val="left" w:pos="540"/>
              </w:tabs>
              <w:adjustRightInd w:val="0"/>
              <w:snapToGrid w:val="0"/>
              <w:spacing w:line="360" w:lineRule="auto"/>
              <w:rPr>
                <w:rFonts w:hint="eastAsia"/>
                <w:b/>
                <w:sz w:val="28"/>
                <w:szCs w:val="28"/>
              </w:rPr>
            </w:pPr>
          </w:p>
        </w:tc>
      </w:tr>
      <w:tr w14:paraId="4858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1879" w:type="dxa"/>
            <w:gridSpan w:val="2"/>
            <w:tcBorders>
              <w:top w:val="nil"/>
              <w:bottom w:val="nil"/>
            </w:tcBorders>
          </w:tcPr>
          <w:p w14:paraId="4F3FCB92">
            <w:pPr>
              <w:rPr>
                <w:sz w:val="2"/>
                <w:szCs w:val="2"/>
              </w:rPr>
            </w:pPr>
          </w:p>
        </w:tc>
        <w:tc>
          <w:tcPr>
            <w:tcW w:w="8852" w:type="dxa"/>
          </w:tcPr>
          <w:p w14:paraId="5D7177A1">
            <w:pPr>
              <w:spacing w:line="560" w:lineRule="exact"/>
              <w:rPr>
                <w:rFonts w:ascii="仿宋" w:hAnsi="仿宋" w:eastAsia="仿宋" w:cs="宋体"/>
                <w:b/>
                <w:sz w:val="28"/>
                <w:szCs w:val="28"/>
              </w:rPr>
            </w:pPr>
            <w:r>
              <w:rPr>
                <w:rFonts w:hint="eastAsia" w:ascii="仿宋" w:hAnsi="仿宋" w:eastAsia="仿宋" w:cs="宋体"/>
                <w:b/>
                <w:sz w:val="28"/>
                <w:szCs w:val="28"/>
              </w:rPr>
              <w:t>供应商特定资格</w:t>
            </w:r>
            <w:r>
              <w:rPr>
                <w:rFonts w:ascii="仿宋" w:hAnsi="仿宋" w:eastAsia="仿宋" w:cs="宋体"/>
                <w:b/>
                <w:sz w:val="28"/>
                <w:szCs w:val="28"/>
              </w:rPr>
              <w:t>/资质要求：</w:t>
            </w:r>
          </w:p>
          <w:p w14:paraId="6507424A">
            <w:pPr>
              <w:spacing w:line="360" w:lineRule="auto"/>
              <w:ind w:firstLine="560" w:firstLineChars="200"/>
              <w:rPr>
                <w:sz w:val="28"/>
                <w:szCs w:val="28"/>
              </w:rPr>
            </w:pPr>
            <w:r>
              <w:rPr>
                <w:sz w:val="28"/>
                <w:szCs w:val="28"/>
              </w:rPr>
              <w:t xml:space="preserve">1.基本资格条件：必须是在中华人民共和国境内注册登记的法人、其他组织或者自然人，且应当符合《政府采购法》第二十二条第一款的规定，即： </w:t>
            </w:r>
          </w:p>
          <w:p w14:paraId="6286F2D0">
            <w:pPr>
              <w:spacing w:line="360" w:lineRule="auto"/>
              <w:ind w:firstLine="560" w:firstLineChars="200"/>
              <w:rPr>
                <w:sz w:val="28"/>
                <w:szCs w:val="28"/>
              </w:rPr>
            </w:pPr>
            <w:r>
              <w:rPr>
                <w:rFonts w:hint="eastAsia"/>
                <w:sz w:val="28"/>
                <w:szCs w:val="28"/>
              </w:rPr>
              <w:t>（</w:t>
            </w:r>
            <w:r>
              <w:rPr>
                <w:sz w:val="28"/>
                <w:szCs w:val="28"/>
              </w:rPr>
              <w:t>1）具有独立承担民事责任的能力；</w:t>
            </w:r>
          </w:p>
          <w:p w14:paraId="6E1DFEE9">
            <w:pPr>
              <w:spacing w:line="360" w:lineRule="auto"/>
              <w:ind w:firstLine="560" w:firstLineChars="200"/>
              <w:rPr>
                <w:sz w:val="28"/>
                <w:szCs w:val="28"/>
              </w:rPr>
            </w:pPr>
            <w:r>
              <w:rPr>
                <w:rFonts w:hint="eastAsia"/>
                <w:sz w:val="28"/>
                <w:szCs w:val="28"/>
              </w:rPr>
              <w:t>（</w:t>
            </w:r>
            <w:r>
              <w:rPr>
                <w:sz w:val="28"/>
                <w:szCs w:val="28"/>
              </w:rPr>
              <w:t>2）具有良好的商业信誉和健全的财务会计制度；</w:t>
            </w:r>
          </w:p>
          <w:p w14:paraId="0FC91953">
            <w:pPr>
              <w:spacing w:line="360" w:lineRule="auto"/>
              <w:ind w:firstLine="560" w:firstLineChars="200"/>
              <w:rPr>
                <w:sz w:val="28"/>
                <w:szCs w:val="28"/>
              </w:rPr>
            </w:pPr>
            <w:r>
              <w:rPr>
                <w:rFonts w:hint="eastAsia"/>
                <w:sz w:val="28"/>
                <w:szCs w:val="28"/>
              </w:rPr>
              <w:t>（</w:t>
            </w:r>
            <w:r>
              <w:rPr>
                <w:sz w:val="28"/>
                <w:szCs w:val="28"/>
              </w:rPr>
              <w:t>3）具有履行合同所必需的设备和专业技术能力；</w:t>
            </w:r>
          </w:p>
          <w:p w14:paraId="30DD2F30">
            <w:pPr>
              <w:spacing w:line="360" w:lineRule="auto"/>
              <w:ind w:firstLine="560" w:firstLineChars="200"/>
              <w:rPr>
                <w:sz w:val="28"/>
                <w:szCs w:val="28"/>
              </w:rPr>
            </w:pPr>
            <w:r>
              <w:rPr>
                <w:rFonts w:hint="eastAsia"/>
                <w:sz w:val="28"/>
                <w:szCs w:val="28"/>
              </w:rPr>
              <w:t>（</w:t>
            </w:r>
            <w:r>
              <w:rPr>
                <w:sz w:val="28"/>
                <w:szCs w:val="28"/>
              </w:rPr>
              <w:t>4）有依法缴纳税收和社会保障资金的良好记录；</w:t>
            </w:r>
          </w:p>
          <w:p w14:paraId="30681A75">
            <w:pPr>
              <w:spacing w:line="360" w:lineRule="auto"/>
              <w:ind w:firstLine="560" w:firstLineChars="200"/>
              <w:rPr>
                <w:sz w:val="28"/>
                <w:szCs w:val="28"/>
              </w:rPr>
            </w:pPr>
            <w:r>
              <w:rPr>
                <w:rFonts w:hint="eastAsia"/>
                <w:sz w:val="28"/>
                <w:szCs w:val="28"/>
              </w:rPr>
              <w:t>（</w:t>
            </w:r>
            <w:r>
              <w:rPr>
                <w:sz w:val="28"/>
                <w:szCs w:val="28"/>
              </w:rPr>
              <w:t>5）参加政府采购活动前三年内，在经营活动中没有重大违法</w:t>
            </w:r>
          </w:p>
          <w:p w14:paraId="24CBC210">
            <w:pPr>
              <w:spacing w:line="360" w:lineRule="auto"/>
              <w:ind w:firstLine="560" w:firstLineChars="200"/>
              <w:rPr>
                <w:sz w:val="28"/>
                <w:szCs w:val="28"/>
              </w:rPr>
            </w:pPr>
            <w:r>
              <w:rPr>
                <w:rFonts w:hint="eastAsia"/>
                <w:sz w:val="28"/>
                <w:szCs w:val="28"/>
              </w:rPr>
              <w:t>记录；</w:t>
            </w:r>
          </w:p>
          <w:p w14:paraId="37E0A532">
            <w:pPr>
              <w:spacing w:line="360" w:lineRule="auto"/>
              <w:ind w:firstLine="560" w:firstLineChars="200"/>
              <w:rPr>
                <w:sz w:val="28"/>
                <w:szCs w:val="28"/>
              </w:rPr>
            </w:pPr>
            <w:r>
              <w:rPr>
                <w:rFonts w:hint="eastAsia"/>
                <w:sz w:val="28"/>
                <w:szCs w:val="28"/>
              </w:rPr>
              <w:t>（</w:t>
            </w:r>
            <w:r>
              <w:rPr>
                <w:sz w:val="28"/>
                <w:szCs w:val="28"/>
              </w:rPr>
              <w:t>6）法律、行政法规规定的其他条件。</w:t>
            </w:r>
          </w:p>
          <w:p w14:paraId="402E50A5">
            <w:pPr>
              <w:spacing w:line="360" w:lineRule="auto"/>
              <w:ind w:firstLine="560" w:firstLineChars="200"/>
              <w:rPr>
                <w:sz w:val="28"/>
                <w:szCs w:val="28"/>
              </w:rPr>
            </w:pPr>
            <w:r>
              <w:rPr>
                <w:rFonts w:hint="eastAsia"/>
                <w:sz w:val="28"/>
                <w:szCs w:val="28"/>
              </w:rPr>
              <w:t>（</w:t>
            </w:r>
            <w:r>
              <w:rPr>
                <w:sz w:val="28"/>
                <w:szCs w:val="28"/>
              </w:rPr>
              <w:t>7）必须是所投货物的制造商或者代理商。</w:t>
            </w:r>
          </w:p>
          <w:p w14:paraId="4BD8AFD8">
            <w:pPr>
              <w:spacing w:line="360" w:lineRule="auto"/>
              <w:ind w:firstLine="560" w:firstLineChars="200"/>
              <w:rPr>
                <w:sz w:val="28"/>
                <w:szCs w:val="28"/>
              </w:rPr>
            </w:pPr>
            <w:r>
              <w:rPr>
                <w:sz w:val="28"/>
                <w:szCs w:val="28"/>
              </w:rPr>
              <w:t>2.单位负责人为同一人或者存</w:t>
            </w:r>
            <w:r>
              <w:rPr>
                <w:rFonts w:hint="eastAsia"/>
                <w:sz w:val="28"/>
                <w:szCs w:val="28"/>
              </w:rPr>
              <w:t>在直接控股、管理关系的不同投标人，不得参加同一合同项下的政府采购活动。</w:t>
            </w:r>
          </w:p>
          <w:p w14:paraId="52DECC81">
            <w:pPr>
              <w:spacing w:line="360" w:lineRule="auto"/>
              <w:ind w:firstLine="560" w:firstLineChars="200"/>
              <w:rPr>
                <w:rFonts w:ascii="仿宋" w:hAnsi="仿宋" w:eastAsia="仿宋" w:cs="宋体"/>
                <w:b/>
                <w:sz w:val="28"/>
                <w:szCs w:val="28"/>
              </w:rPr>
            </w:pPr>
            <w:r>
              <w:rPr>
                <w:sz w:val="28"/>
                <w:szCs w:val="28"/>
              </w:rPr>
              <w:t>3.列入失信被执行人、重大税收违法案件当事人名单，列入政府采购严重违法失信行为记录名单的，拒绝其参与政府采购活动。</w:t>
            </w:r>
          </w:p>
        </w:tc>
      </w:tr>
      <w:tr w14:paraId="4F728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1879" w:type="dxa"/>
            <w:gridSpan w:val="2"/>
            <w:tcBorders>
              <w:top w:val="nil"/>
              <w:bottom w:val="nil"/>
            </w:tcBorders>
          </w:tcPr>
          <w:p w14:paraId="02331F28">
            <w:pPr>
              <w:rPr>
                <w:sz w:val="2"/>
                <w:szCs w:val="2"/>
              </w:rPr>
            </w:pPr>
          </w:p>
        </w:tc>
        <w:tc>
          <w:tcPr>
            <w:tcW w:w="8852" w:type="dxa"/>
          </w:tcPr>
          <w:p w14:paraId="7E3EEF62">
            <w:pPr>
              <w:spacing w:line="560" w:lineRule="exact"/>
              <w:rPr>
                <w:rFonts w:hint="eastAsia" w:ascii="仿宋" w:hAnsi="仿宋" w:eastAsia="仿宋" w:cs="宋体"/>
                <w:b/>
                <w:sz w:val="28"/>
                <w:szCs w:val="28"/>
                <w:lang w:val="en-US" w:eastAsia="zh-CN"/>
              </w:rPr>
            </w:pPr>
            <w:r>
              <w:rPr>
                <w:rFonts w:hint="eastAsia" w:ascii="仿宋" w:hAnsi="仿宋" w:eastAsia="仿宋" w:cs="宋体"/>
                <w:b/>
                <w:sz w:val="28"/>
                <w:szCs w:val="28"/>
              </w:rPr>
              <w:t>是否专门面向中小企业采</w:t>
            </w:r>
            <w:r>
              <w:rPr>
                <w:rFonts w:hint="eastAsia" w:cs="宋体"/>
                <w:b/>
                <w:sz w:val="28"/>
                <w:szCs w:val="28"/>
              </w:rPr>
              <w:t>购：</w:t>
            </w:r>
            <w:r>
              <w:rPr>
                <w:rFonts w:hint="eastAsia" w:cs="宋体"/>
                <w:b/>
                <w:sz w:val="28"/>
                <w:szCs w:val="28"/>
                <w:lang w:val="en-US" w:eastAsia="zh-CN"/>
              </w:rPr>
              <w:t>是</w:t>
            </w:r>
          </w:p>
        </w:tc>
      </w:tr>
      <w:tr w14:paraId="6E83E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879" w:type="dxa"/>
            <w:gridSpan w:val="2"/>
            <w:tcBorders>
              <w:top w:val="nil"/>
            </w:tcBorders>
          </w:tcPr>
          <w:p w14:paraId="780276A5">
            <w:pPr>
              <w:rPr>
                <w:sz w:val="2"/>
                <w:szCs w:val="2"/>
              </w:rPr>
            </w:pPr>
          </w:p>
        </w:tc>
        <w:tc>
          <w:tcPr>
            <w:tcW w:w="8852" w:type="dxa"/>
          </w:tcPr>
          <w:p w14:paraId="5BD9BD94">
            <w:pPr>
              <w:pStyle w:val="19"/>
              <w:ind w:left="0" w:leftChars="0" w:firstLine="0" w:firstLineChars="0"/>
              <w:rPr>
                <w:b/>
                <w:bCs/>
                <w:sz w:val="24"/>
              </w:rPr>
            </w:pPr>
            <w:r>
              <w:rPr>
                <w:rFonts w:hint="eastAsia"/>
                <w:b/>
                <w:bCs/>
                <w:sz w:val="24"/>
              </w:rPr>
              <w:t>附件1：</w:t>
            </w:r>
          </w:p>
          <w:p w14:paraId="6D576E61">
            <w:pPr>
              <w:pStyle w:val="19"/>
              <w:ind w:firstLine="0" w:firstLineChars="0"/>
              <w:rPr>
                <w:b/>
                <w:bCs/>
                <w:sz w:val="24"/>
              </w:rPr>
            </w:pPr>
          </w:p>
          <w:p w14:paraId="43766289">
            <w:pPr>
              <w:pStyle w:val="19"/>
              <w:ind w:left="2020" w:leftChars="918" w:firstLine="843" w:firstLineChars="350"/>
              <w:jc w:val="both"/>
              <w:rPr>
                <w:b/>
                <w:bCs/>
                <w:sz w:val="24"/>
              </w:rPr>
            </w:pPr>
            <w:r>
              <w:rPr>
                <w:rFonts w:hint="eastAsia"/>
                <w:b/>
                <w:bCs/>
                <w:sz w:val="24"/>
              </w:rPr>
              <w:t>法定代表人授权委托书</w:t>
            </w:r>
          </w:p>
          <w:p w14:paraId="311265E5">
            <w:pPr>
              <w:pStyle w:val="19"/>
              <w:ind w:firstLine="482"/>
              <w:jc w:val="center"/>
              <w:rPr>
                <w:b/>
                <w:bCs/>
                <w:sz w:val="24"/>
              </w:rPr>
            </w:pPr>
          </w:p>
          <w:p w14:paraId="448739F2">
            <w:pPr>
              <w:pStyle w:val="19"/>
              <w:spacing w:line="276" w:lineRule="auto"/>
              <w:ind w:left="0" w:leftChars="0" w:firstLine="0" w:firstLineChars="0"/>
              <w:jc w:val="left"/>
              <w:rPr>
                <w:sz w:val="24"/>
              </w:rPr>
            </w:pPr>
            <w:r>
              <w:rPr>
                <w:rFonts w:hint="eastAsia"/>
                <w:sz w:val="24"/>
              </w:rPr>
              <w:t>本授权委托书声明：注册于地址：</w:t>
            </w:r>
            <w:r>
              <w:rPr>
                <w:rFonts w:hint="eastAsia"/>
                <w:sz w:val="24"/>
                <w:u w:val="single"/>
              </w:rPr>
              <w:t xml:space="preserve">                         </w:t>
            </w:r>
            <w:r>
              <w:rPr>
                <w:rFonts w:hint="eastAsia"/>
                <w:sz w:val="24"/>
              </w:rPr>
              <w:t>在下面签名的</w:t>
            </w:r>
            <w:r>
              <w:rPr>
                <w:rFonts w:hint="eastAsia"/>
                <w:sz w:val="24"/>
                <w:u w:val="single"/>
              </w:rPr>
              <w:t xml:space="preserve">               </w:t>
            </w:r>
            <w:r>
              <w:rPr>
                <w:rFonts w:hint="eastAsia"/>
                <w:sz w:val="24"/>
              </w:rPr>
              <w:t>在此授权</w:t>
            </w:r>
            <w:r>
              <w:rPr>
                <w:rFonts w:hint="eastAsia"/>
                <w:sz w:val="24"/>
                <w:u w:val="single"/>
              </w:rPr>
              <w:t xml:space="preserve">       </w:t>
            </w:r>
            <w:r>
              <w:rPr>
                <w:rFonts w:hint="eastAsia"/>
                <w:sz w:val="24"/>
              </w:rPr>
              <w:t>作为我公司的合法代理人，就</w:t>
            </w:r>
            <w:r>
              <w:rPr>
                <w:rFonts w:hint="eastAsia"/>
                <w:sz w:val="24"/>
                <w:u w:val="single"/>
              </w:rPr>
              <w:t xml:space="preserve">                           </w:t>
            </w:r>
            <w:r>
              <w:rPr>
                <w:rFonts w:hint="eastAsia"/>
                <w:sz w:val="24"/>
              </w:rPr>
              <w:t>项目的招投标活动，采购合同的签订、执行、完成和售后服务，作为投标人代表以我方的名义处理一切与之有关的事务。</w:t>
            </w:r>
          </w:p>
          <w:p w14:paraId="6BF566E1">
            <w:pPr>
              <w:pStyle w:val="19"/>
              <w:spacing w:line="276" w:lineRule="auto"/>
              <w:ind w:left="0" w:leftChars="0" w:firstLine="0" w:firstLineChars="0"/>
              <w:jc w:val="left"/>
              <w:rPr>
                <w:sz w:val="24"/>
              </w:rPr>
            </w:pPr>
            <w:r>
              <w:rPr>
                <w:rFonts w:hint="eastAsia"/>
                <w:sz w:val="24"/>
              </w:rPr>
              <w:t>被授权人（投标人授权代表）无转委托权限。</w:t>
            </w:r>
          </w:p>
          <w:p w14:paraId="41F6F357">
            <w:pPr>
              <w:pStyle w:val="19"/>
              <w:spacing w:line="276" w:lineRule="auto"/>
              <w:ind w:left="0" w:leftChars="0" w:firstLine="0" w:firstLineChars="0"/>
              <w:jc w:val="left"/>
              <w:rPr>
                <w:sz w:val="24"/>
              </w:rPr>
            </w:pPr>
            <w:r>
              <w:rPr>
                <w:rFonts w:hint="eastAsia"/>
                <w:sz w:val="24"/>
              </w:rPr>
              <w:t>本授权书自法定代表人签字之日起生效，特此声明。</w:t>
            </w:r>
          </w:p>
          <w:p w14:paraId="4B8EC8EB">
            <w:pPr>
              <w:pStyle w:val="19"/>
              <w:spacing w:line="276" w:lineRule="auto"/>
              <w:ind w:firstLine="480"/>
              <w:jc w:val="left"/>
              <w:rPr>
                <w:sz w:val="24"/>
              </w:rPr>
            </w:pPr>
          </w:p>
          <w:p w14:paraId="7D4F1AFE">
            <w:pPr>
              <w:pStyle w:val="19"/>
              <w:spacing w:line="276" w:lineRule="auto"/>
              <w:ind w:firstLine="480"/>
              <w:jc w:val="left"/>
              <w:rPr>
                <w:sz w:val="24"/>
              </w:rPr>
            </w:pPr>
          </w:p>
          <w:p w14:paraId="420A3FC9">
            <w:pPr>
              <w:pStyle w:val="19"/>
              <w:spacing w:line="276" w:lineRule="auto"/>
              <w:ind w:firstLine="480"/>
              <w:jc w:val="left"/>
              <w:rPr>
                <w:sz w:val="24"/>
              </w:rPr>
            </w:pPr>
          </w:p>
          <w:p w14:paraId="6D727061">
            <w:pPr>
              <w:pStyle w:val="19"/>
              <w:spacing w:line="276" w:lineRule="auto"/>
              <w:ind w:left="0" w:leftChars="0" w:firstLine="0" w:firstLineChars="0"/>
              <w:jc w:val="left"/>
              <w:rPr>
                <w:sz w:val="24"/>
              </w:rPr>
            </w:pPr>
            <w:r>
              <w:rPr>
                <w:rFonts w:hint="eastAsia"/>
                <w:sz w:val="24"/>
              </w:rPr>
              <w:t>投标人名称（盖公章）：</w:t>
            </w:r>
          </w:p>
          <w:p w14:paraId="3299AC13">
            <w:pPr>
              <w:pStyle w:val="19"/>
              <w:spacing w:line="276" w:lineRule="auto"/>
              <w:ind w:left="0" w:leftChars="0" w:firstLine="0" w:firstLineChars="0"/>
              <w:jc w:val="left"/>
              <w:rPr>
                <w:sz w:val="24"/>
              </w:rPr>
            </w:pPr>
            <w:r>
              <w:rPr>
                <w:rFonts w:hint="eastAsia"/>
                <w:sz w:val="24"/>
              </w:rPr>
              <w:t>地      址：</w:t>
            </w:r>
          </w:p>
          <w:p w14:paraId="2199F827">
            <w:pPr>
              <w:pStyle w:val="19"/>
              <w:spacing w:line="276" w:lineRule="auto"/>
              <w:ind w:left="0" w:leftChars="0" w:firstLine="0" w:firstLineChars="0"/>
              <w:jc w:val="left"/>
              <w:rPr>
                <w:sz w:val="24"/>
              </w:rPr>
            </w:pPr>
            <w:r>
              <w:rPr>
                <w:rFonts w:hint="eastAsia"/>
                <w:sz w:val="24"/>
              </w:rPr>
              <w:t xml:space="preserve">法定代表人（签字或盖章）：                    </w:t>
            </w:r>
          </w:p>
          <w:p w14:paraId="66DBBF0A">
            <w:pPr>
              <w:pStyle w:val="19"/>
              <w:spacing w:line="276" w:lineRule="auto"/>
              <w:ind w:left="0" w:leftChars="0" w:firstLine="0" w:firstLineChars="0"/>
              <w:jc w:val="left"/>
              <w:rPr>
                <w:sz w:val="24"/>
              </w:rPr>
            </w:pPr>
            <w:r>
              <w:rPr>
                <w:rFonts w:hint="eastAsia"/>
                <w:sz w:val="24"/>
              </w:rPr>
              <w:t>签字日期：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717B8F76">
            <w:pPr>
              <w:pStyle w:val="19"/>
              <w:spacing w:line="276" w:lineRule="auto"/>
              <w:ind w:left="0" w:leftChars="0" w:firstLine="0" w:firstLineChars="0"/>
              <w:jc w:val="left"/>
              <w:rPr>
                <w:sz w:val="24"/>
              </w:rPr>
            </w:pPr>
            <w:r>
              <w:rPr>
                <w:rFonts w:hint="eastAsia"/>
                <w:sz w:val="24"/>
              </w:rPr>
              <w:t xml:space="preserve">被授权人（投标人授权代表）（签字或盖章）： </w:t>
            </w:r>
          </w:p>
          <w:p w14:paraId="5C2FAFBF">
            <w:pPr>
              <w:pStyle w:val="19"/>
              <w:spacing w:line="276" w:lineRule="auto"/>
              <w:ind w:firstLine="480"/>
              <w:jc w:val="left"/>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30861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4F84B1">
                                  <w:pPr>
                                    <w:ind w:firstLine="1440" w:firstLineChars="600"/>
                                    <w:rPr>
                                      <w:sz w:val="24"/>
                                    </w:rPr>
                                  </w:pPr>
                                  <w:r>
                                    <w:rPr>
                                      <w:rFonts w:hint="eastAsia"/>
                                      <w:sz w:val="24"/>
                                    </w:rPr>
                                    <w:t>被授权人（授权代表）</w:t>
                                  </w:r>
                                </w:p>
                                <w:p w14:paraId="779A1884">
                                  <w:pPr>
                                    <w:ind w:firstLine="1200" w:firstLineChars="500"/>
                                    <w:rPr>
                                      <w:sz w:val="24"/>
                                    </w:rPr>
                                  </w:pPr>
                                  <w:r>
                                    <w:rPr>
                                      <w:rFonts w:hint="eastAsia"/>
                                      <w:sz w:val="24"/>
                                    </w:rPr>
                                    <w:t>居民身份证复印件粘贴处</w:t>
                                  </w:r>
                                </w:p>
                                <w:p w14:paraId="56DBE0DB">
                                  <w:pPr>
                                    <w:ind w:firstLine="1200" w:firstLineChars="500"/>
                                    <w:rPr>
                                      <w:sz w:val="24"/>
                                    </w:rPr>
                                  </w:pPr>
                                </w:p>
                                <w:p w14:paraId="128294E3">
                                  <w:pPr>
                                    <w:ind w:firstLine="2040" w:firstLineChars="850"/>
                                    <w:rPr>
                                      <w:sz w:val="24"/>
                                    </w:rPr>
                                  </w:pPr>
                                  <w:r>
                                    <w:rPr>
                                      <w:rFonts w:hint="eastAsia"/>
                                      <w:sz w:val="24"/>
                                    </w:rPr>
                                    <w:t>（正面）</w:t>
                                  </w:r>
                                </w:p>
                                <w:p w14:paraId="6F19A158">
                                  <w:pPr>
                                    <w:ind w:firstLine="1200" w:firstLineChars="500"/>
                                    <w:rPr>
                                      <w:sz w:val="24"/>
                                    </w:rPr>
                                  </w:pPr>
                                </w:p>
                                <w:p w14:paraId="608F580F"/>
                              </w:txbxContent>
                            </wps:txbx>
                            <wps:bodyPr upright="1"/>
                          </wps:wsp>
                        </a:graphicData>
                      </a:graphic>
                    </wp:anchor>
                  </w:drawing>
                </mc:Choice>
                <mc:Fallback>
                  <w:pict>
                    <v:rect id="_x0000_s1026" o:spid="_x0000_s1026" o:spt="1" style="position:absolute;left:0pt;margin-left:0pt;margin-top:12pt;height:156pt;width:243pt;z-index:251659264;mso-width-relative:page;mso-height-relative:page;" fillcolor="#FFFFFF" filled="t" stroked="t" coordsize="21600,21600" o:gfxdata="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Wu6ZtUAAAAHAQAADwAAAAAAAAABACAAAAAiAAAAZHJzL2Rvd25y&#10;ZXYueG1sUEsBAhQAFAAAAAgAh07iQGnChbkBAgAAKgQAAA4AAAAAAAAAAQAgAAAAJAEAAGRycy9l&#10;Mm9Eb2MueG1sUEsFBgAAAAAGAAYAWQEAAJcFAAAAAA==&#10;">
                      <v:fill on="t" focussize="0,0"/>
                      <v:stroke color="#000000" joinstyle="miter"/>
                      <v:imagedata o:title=""/>
                      <o:lock v:ext="edit" aspectratio="f"/>
                      <v:textbox>
                        <w:txbxContent>
                          <w:p w14:paraId="7D4F84B1">
                            <w:pPr>
                              <w:ind w:firstLine="1440" w:firstLineChars="600"/>
                              <w:rPr>
                                <w:sz w:val="24"/>
                              </w:rPr>
                            </w:pPr>
                            <w:r>
                              <w:rPr>
                                <w:rFonts w:hint="eastAsia"/>
                                <w:sz w:val="24"/>
                              </w:rPr>
                              <w:t>被授权人（授权代表）</w:t>
                            </w:r>
                          </w:p>
                          <w:p w14:paraId="779A1884">
                            <w:pPr>
                              <w:ind w:firstLine="1200" w:firstLineChars="500"/>
                              <w:rPr>
                                <w:sz w:val="24"/>
                              </w:rPr>
                            </w:pPr>
                            <w:r>
                              <w:rPr>
                                <w:rFonts w:hint="eastAsia"/>
                                <w:sz w:val="24"/>
                              </w:rPr>
                              <w:t>居民身份证复印件粘贴处</w:t>
                            </w:r>
                          </w:p>
                          <w:p w14:paraId="56DBE0DB">
                            <w:pPr>
                              <w:ind w:firstLine="1200" w:firstLineChars="500"/>
                              <w:rPr>
                                <w:sz w:val="24"/>
                              </w:rPr>
                            </w:pPr>
                          </w:p>
                          <w:p w14:paraId="128294E3">
                            <w:pPr>
                              <w:ind w:firstLine="2040" w:firstLineChars="850"/>
                              <w:rPr>
                                <w:sz w:val="24"/>
                              </w:rPr>
                            </w:pPr>
                            <w:r>
                              <w:rPr>
                                <w:rFonts w:hint="eastAsia"/>
                                <w:sz w:val="24"/>
                              </w:rPr>
                              <w:t>（正面）</w:t>
                            </w:r>
                          </w:p>
                          <w:p w14:paraId="6F19A158">
                            <w:pPr>
                              <w:ind w:firstLine="1200" w:firstLineChars="500"/>
                              <w:rPr>
                                <w:sz w:val="24"/>
                              </w:rPr>
                            </w:pPr>
                          </w:p>
                          <w:p w14:paraId="608F580F"/>
                        </w:txbxContent>
                      </v:textbox>
                    </v:rect>
                  </w:pict>
                </mc:Fallback>
              </mc:AlternateContent>
            </w:r>
          </w:p>
          <w:p w14:paraId="1A6C206A">
            <w:pPr>
              <w:pStyle w:val="19"/>
              <w:spacing w:line="276" w:lineRule="auto"/>
              <w:ind w:firstLine="480"/>
              <w:jc w:val="left"/>
              <w:rPr>
                <w:sz w:val="24"/>
              </w:rPr>
            </w:pPr>
          </w:p>
          <w:p w14:paraId="4442A221">
            <w:pPr>
              <w:pStyle w:val="19"/>
              <w:spacing w:line="276" w:lineRule="auto"/>
              <w:ind w:firstLine="480"/>
              <w:jc w:val="left"/>
              <w:rPr>
                <w:sz w:val="24"/>
              </w:rPr>
            </w:pPr>
          </w:p>
          <w:p w14:paraId="0534231A">
            <w:pPr>
              <w:pStyle w:val="19"/>
              <w:spacing w:line="276" w:lineRule="auto"/>
              <w:ind w:firstLine="480"/>
              <w:jc w:val="left"/>
              <w:rPr>
                <w:sz w:val="24"/>
              </w:rPr>
            </w:pPr>
          </w:p>
          <w:p w14:paraId="1EA2D756">
            <w:pPr>
              <w:pStyle w:val="19"/>
              <w:spacing w:line="276" w:lineRule="auto"/>
              <w:ind w:firstLine="480"/>
              <w:jc w:val="left"/>
              <w:rPr>
                <w:sz w:val="24"/>
              </w:rPr>
            </w:pPr>
          </w:p>
          <w:p w14:paraId="3C5D7DD9">
            <w:pPr>
              <w:pStyle w:val="19"/>
              <w:ind w:firstLine="480"/>
              <w:jc w:val="left"/>
              <w:rPr>
                <w:sz w:val="24"/>
              </w:rPr>
            </w:pPr>
          </w:p>
          <w:p w14:paraId="15CBCEFA">
            <w:pPr>
              <w:pStyle w:val="19"/>
              <w:ind w:firstLine="480"/>
              <w:jc w:val="left"/>
              <w:rPr>
                <w:sz w:val="24"/>
              </w:rPr>
            </w:pPr>
          </w:p>
          <w:p w14:paraId="54AD32EB">
            <w:pPr>
              <w:pStyle w:val="19"/>
              <w:spacing w:line="360" w:lineRule="auto"/>
              <w:ind w:firstLine="0" w:firstLineChars="0"/>
              <w:jc w:val="left"/>
              <w:rPr>
                <w:sz w:val="30"/>
                <w:szCs w:val="30"/>
              </w:rPr>
            </w:pPr>
            <w:r>
              <w:rPr>
                <w:sz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808355</wp:posOffset>
                      </wp:positionV>
                      <wp:extent cx="3086100" cy="198120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2CFBED">
                                  <w:pPr>
                                    <w:ind w:firstLine="1440" w:firstLineChars="600"/>
                                    <w:rPr>
                                      <w:sz w:val="24"/>
                                    </w:rPr>
                                  </w:pPr>
                                  <w:r>
                                    <w:rPr>
                                      <w:rFonts w:hint="eastAsia"/>
                                      <w:sz w:val="24"/>
                                    </w:rPr>
                                    <w:t>被授权人（授权代表）</w:t>
                                  </w:r>
                                </w:p>
                                <w:p w14:paraId="4F88B6EE">
                                  <w:pPr>
                                    <w:ind w:firstLine="1200" w:firstLineChars="500"/>
                                    <w:rPr>
                                      <w:sz w:val="24"/>
                                    </w:rPr>
                                  </w:pPr>
                                  <w:r>
                                    <w:rPr>
                                      <w:rFonts w:hint="eastAsia"/>
                                      <w:sz w:val="24"/>
                                    </w:rPr>
                                    <w:t>居民身份证复印件粘贴处</w:t>
                                  </w:r>
                                </w:p>
                                <w:p w14:paraId="684706F9">
                                  <w:pPr>
                                    <w:ind w:firstLine="1200" w:firstLineChars="500"/>
                                    <w:rPr>
                                      <w:sz w:val="24"/>
                                    </w:rPr>
                                  </w:pPr>
                                </w:p>
                                <w:p w14:paraId="06E20CCD">
                                  <w:pPr>
                                    <w:ind w:firstLine="2040" w:firstLineChars="850"/>
                                    <w:rPr>
                                      <w:sz w:val="24"/>
                                    </w:rPr>
                                  </w:pPr>
                                  <w:r>
                                    <w:rPr>
                                      <w:rFonts w:hint="eastAsia"/>
                                      <w:sz w:val="24"/>
                                    </w:rPr>
                                    <w:t>（反面）</w:t>
                                  </w:r>
                                </w:p>
                                <w:p w14:paraId="2EC068A2">
                                  <w:pPr>
                                    <w:ind w:firstLine="1200" w:firstLineChars="500"/>
                                    <w:rPr>
                                      <w:sz w:val="24"/>
                                    </w:rPr>
                                  </w:pPr>
                                </w:p>
                                <w:p w14:paraId="732385DF"/>
                              </w:txbxContent>
                            </wps:txbx>
                            <wps:bodyPr upright="1"/>
                          </wps:wsp>
                        </a:graphicData>
                      </a:graphic>
                    </wp:anchor>
                  </w:drawing>
                </mc:Choice>
                <mc:Fallback>
                  <w:pict>
                    <v:rect id="_x0000_s1026" o:spid="_x0000_s1026" o:spt="1" style="position:absolute;left:0pt;margin-left:0pt;margin-top:63.65pt;height:156pt;width:243pt;z-index:251660288;mso-width-relative:page;mso-height-relative:page;" fillcolor="#FFFFFF" filled="t" stroked="t" coordsize="21600,21600" o:gfxdata="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nWvKtYAAAAIAQAADwAAAAAAAAABACAAAAAiAAAAZHJzL2Rvd25y&#10;ZXYueG1sUEsBAhQAFAAAAAgAh07iQFA8hEIAAgAAKgQAAA4AAAAAAAAAAQAgAAAAJQEAAGRycy9l&#10;Mm9Eb2MueG1sUEsFBgAAAAAGAAYAWQEAAJcFAAAAAA==&#10;">
                      <v:fill on="t" focussize="0,0"/>
                      <v:stroke color="#000000" joinstyle="miter"/>
                      <v:imagedata o:title=""/>
                      <o:lock v:ext="edit" aspectratio="f"/>
                      <v:textbox>
                        <w:txbxContent>
                          <w:p w14:paraId="1E2CFBED">
                            <w:pPr>
                              <w:ind w:firstLine="1440" w:firstLineChars="600"/>
                              <w:rPr>
                                <w:sz w:val="24"/>
                              </w:rPr>
                            </w:pPr>
                            <w:r>
                              <w:rPr>
                                <w:rFonts w:hint="eastAsia"/>
                                <w:sz w:val="24"/>
                              </w:rPr>
                              <w:t>被授权人（授权代表）</w:t>
                            </w:r>
                          </w:p>
                          <w:p w14:paraId="4F88B6EE">
                            <w:pPr>
                              <w:ind w:firstLine="1200" w:firstLineChars="500"/>
                              <w:rPr>
                                <w:sz w:val="24"/>
                              </w:rPr>
                            </w:pPr>
                            <w:r>
                              <w:rPr>
                                <w:rFonts w:hint="eastAsia"/>
                                <w:sz w:val="24"/>
                              </w:rPr>
                              <w:t>居民身份证复印件粘贴处</w:t>
                            </w:r>
                          </w:p>
                          <w:p w14:paraId="684706F9">
                            <w:pPr>
                              <w:ind w:firstLine="1200" w:firstLineChars="500"/>
                              <w:rPr>
                                <w:sz w:val="24"/>
                              </w:rPr>
                            </w:pPr>
                          </w:p>
                          <w:p w14:paraId="06E20CCD">
                            <w:pPr>
                              <w:ind w:firstLine="2040" w:firstLineChars="850"/>
                              <w:rPr>
                                <w:sz w:val="24"/>
                              </w:rPr>
                            </w:pPr>
                            <w:r>
                              <w:rPr>
                                <w:rFonts w:hint="eastAsia"/>
                                <w:sz w:val="24"/>
                              </w:rPr>
                              <w:t>（反面）</w:t>
                            </w:r>
                          </w:p>
                          <w:p w14:paraId="2EC068A2">
                            <w:pPr>
                              <w:ind w:firstLine="1200" w:firstLineChars="500"/>
                              <w:rPr>
                                <w:sz w:val="24"/>
                              </w:rPr>
                            </w:pPr>
                          </w:p>
                          <w:p w14:paraId="732385DF"/>
                        </w:txbxContent>
                      </v:textbox>
                    </v:rect>
                  </w:pict>
                </mc:Fallback>
              </mc:AlternateContent>
            </w:r>
            <w:r>
              <w:rPr>
                <w:rFonts w:hint="eastAsia"/>
                <w:sz w:val="24"/>
              </w:rPr>
              <w:br w:type="page"/>
            </w:r>
            <w:r>
              <w:rPr>
                <w:rFonts w:hint="eastAsia"/>
                <w:sz w:val="30"/>
                <w:szCs w:val="30"/>
              </w:rPr>
              <w:t>附件2：</w:t>
            </w:r>
          </w:p>
          <w:p w14:paraId="4AE45E5A">
            <w:pPr>
              <w:pStyle w:val="19"/>
              <w:spacing w:line="360" w:lineRule="auto"/>
              <w:ind w:firstLine="0" w:firstLineChars="0"/>
              <w:jc w:val="left"/>
              <w:rPr>
                <w:sz w:val="30"/>
                <w:szCs w:val="30"/>
              </w:rPr>
            </w:pPr>
          </w:p>
          <w:p w14:paraId="3773224B">
            <w:pPr>
              <w:pStyle w:val="19"/>
              <w:ind w:firstLine="602"/>
              <w:jc w:val="center"/>
              <w:rPr>
                <w:rFonts w:hint="eastAsia"/>
                <w:b/>
                <w:bCs/>
                <w:sz w:val="30"/>
                <w:szCs w:val="30"/>
                <w:lang w:val="en-US" w:eastAsia="zh-CN"/>
              </w:rPr>
            </w:pPr>
            <w:r>
              <w:rPr>
                <w:rFonts w:hint="eastAsia"/>
                <w:b/>
                <w:bCs/>
                <w:sz w:val="30"/>
                <w:szCs w:val="30"/>
                <w:lang w:val="en-US" w:eastAsia="zh-CN"/>
              </w:rPr>
              <w:t xml:space="preserve">     </w:t>
            </w:r>
          </w:p>
          <w:p w14:paraId="685F3363">
            <w:pPr>
              <w:pStyle w:val="19"/>
              <w:ind w:firstLine="602"/>
              <w:jc w:val="center"/>
              <w:rPr>
                <w:rFonts w:hint="eastAsia"/>
                <w:b/>
                <w:bCs/>
                <w:sz w:val="30"/>
                <w:szCs w:val="30"/>
                <w:lang w:val="en-US" w:eastAsia="zh-CN"/>
              </w:rPr>
            </w:pPr>
          </w:p>
          <w:p w14:paraId="7BDA045D">
            <w:pPr>
              <w:pStyle w:val="19"/>
              <w:ind w:firstLine="602"/>
              <w:jc w:val="center"/>
              <w:rPr>
                <w:rFonts w:hint="eastAsia"/>
                <w:b/>
                <w:bCs/>
                <w:sz w:val="30"/>
                <w:szCs w:val="30"/>
                <w:lang w:val="en-US" w:eastAsia="zh-CN"/>
              </w:rPr>
            </w:pPr>
          </w:p>
          <w:p w14:paraId="453E23C6">
            <w:pPr>
              <w:pStyle w:val="19"/>
              <w:ind w:firstLine="602"/>
              <w:jc w:val="center"/>
              <w:rPr>
                <w:rFonts w:hint="eastAsia"/>
                <w:b/>
                <w:bCs/>
                <w:sz w:val="30"/>
                <w:szCs w:val="30"/>
                <w:lang w:val="en-US" w:eastAsia="zh-CN"/>
              </w:rPr>
            </w:pPr>
          </w:p>
          <w:p w14:paraId="1041FEE9">
            <w:pPr>
              <w:pStyle w:val="19"/>
              <w:ind w:firstLine="602"/>
              <w:jc w:val="center"/>
              <w:rPr>
                <w:rFonts w:hint="eastAsia"/>
                <w:b/>
                <w:bCs/>
                <w:sz w:val="30"/>
                <w:szCs w:val="30"/>
                <w:lang w:val="en-US" w:eastAsia="zh-CN"/>
              </w:rPr>
            </w:pPr>
          </w:p>
          <w:p w14:paraId="0D5FC129">
            <w:pPr>
              <w:pStyle w:val="19"/>
              <w:ind w:firstLine="602"/>
              <w:jc w:val="center"/>
              <w:rPr>
                <w:rFonts w:hint="eastAsia"/>
                <w:b/>
                <w:bCs/>
                <w:sz w:val="30"/>
                <w:szCs w:val="30"/>
                <w:lang w:val="en-US" w:eastAsia="zh-CN"/>
              </w:rPr>
            </w:pPr>
          </w:p>
          <w:p w14:paraId="4B165443">
            <w:pPr>
              <w:pStyle w:val="19"/>
              <w:ind w:firstLine="602"/>
              <w:jc w:val="center"/>
              <w:rPr>
                <w:rFonts w:hint="eastAsia"/>
                <w:b/>
                <w:bCs/>
                <w:sz w:val="30"/>
                <w:szCs w:val="30"/>
                <w:lang w:val="en-US" w:eastAsia="zh-CN"/>
              </w:rPr>
            </w:pPr>
          </w:p>
          <w:p w14:paraId="5C24FD7F">
            <w:pPr>
              <w:pStyle w:val="19"/>
              <w:ind w:firstLine="602"/>
              <w:jc w:val="center"/>
              <w:rPr>
                <w:rFonts w:hint="eastAsia"/>
                <w:b/>
                <w:bCs/>
                <w:sz w:val="30"/>
                <w:szCs w:val="30"/>
                <w:lang w:val="en-US" w:eastAsia="zh-CN"/>
              </w:rPr>
            </w:pPr>
          </w:p>
          <w:p w14:paraId="42436F13">
            <w:pPr>
              <w:pStyle w:val="19"/>
              <w:ind w:firstLine="602"/>
              <w:jc w:val="center"/>
              <w:rPr>
                <w:rFonts w:hint="eastAsia"/>
                <w:b/>
                <w:bCs/>
                <w:sz w:val="30"/>
                <w:szCs w:val="30"/>
                <w:lang w:val="en-US" w:eastAsia="zh-CN"/>
              </w:rPr>
            </w:pPr>
          </w:p>
          <w:p w14:paraId="3AC4756A">
            <w:pPr>
              <w:pStyle w:val="19"/>
              <w:ind w:firstLine="602"/>
              <w:jc w:val="both"/>
              <w:rPr>
                <w:b/>
                <w:bCs/>
                <w:sz w:val="30"/>
                <w:szCs w:val="30"/>
              </w:rPr>
            </w:pPr>
            <w:r>
              <w:rPr>
                <w:rFonts w:hint="eastAsia"/>
                <w:b/>
                <w:bCs/>
                <w:sz w:val="30"/>
                <w:szCs w:val="30"/>
              </w:rPr>
              <w:t>法定代表人证明书</w:t>
            </w:r>
          </w:p>
          <w:p w14:paraId="4895DEE7">
            <w:pPr>
              <w:pStyle w:val="19"/>
              <w:ind w:firstLine="602"/>
              <w:jc w:val="center"/>
              <w:rPr>
                <w:b/>
                <w:bCs/>
                <w:sz w:val="30"/>
                <w:szCs w:val="30"/>
              </w:rPr>
            </w:pPr>
          </w:p>
          <w:p w14:paraId="05DF9246">
            <w:pPr>
              <w:pStyle w:val="19"/>
              <w:spacing w:line="360" w:lineRule="auto"/>
              <w:ind w:left="0" w:leftChars="0" w:firstLine="0" w:firstLineChars="0"/>
              <w:jc w:val="left"/>
              <w:rPr>
                <w:sz w:val="30"/>
                <w:szCs w:val="30"/>
              </w:rPr>
            </w:pPr>
            <w:r>
              <w:rPr>
                <w:rFonts w:hint="eastAsia"/>
                <w:sz w:val="30"/>
                <w:szCs w:val="30"/>
              </w:rPr>
              <w:t>_______同志，现任我单位</w:t>
            </w:r>
            <w:r>
              <w:rPr>
                <w:rFonts w:hint="eastAsia"/>
                <w:sz w:val="30"/>
                <w:szCs w:val="30"/>
                <w:u w:val="single"/>
              </w:rPr>
              <w:t xml:space="preserve">         </w:t>
            </w:r>
            <w:r>
              <w:rPr>
                <w:rFonts w:hint="eastAsia"/>
                <w:sz w:val="30"/>
                <w:szCs w:val="30"/>
              </w:rPr>
              <w:t>职务，为法定代表人，特此证明。有效日期与本公司投标文件中标注的投标有效期相同。签发日期：</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 xml:space="preserve">日     </w:t>
            </w:r>
          </w:p>
          <w:p w14:paraId="6D6F0EC9">
            <w:pPr>
              <w:pStyle w:val="19"/>
              <w:spacing w:line="360" w:lineRule="auto"/>
              <w:ind w:firstLine="0" w:firstLineChars="0"/>
              <w:jc w:val="left"/>
              <w:rPr>
                <w:sz w:val="30"/>
                <w:szCs w:val="30"/>
              </w:rPr>
            </w:pPr>
          </w:p>
          <w:p w14:paraId="3CA86C3E">
            <w:pPr>
              <w:pStyle w:val="19"/>
              <w:spacing w:line="360" w:lineRule="auto"/>
              <w:ind w:left="6619" w:leftChars="1332" w:hanging="3689" w:hangingChars="1225"/>
              <w:jc w:val="left"/>
              <w:rPr>
                <w:rFonts w:hint="eastAsia"/>
                <w:sz w:val="30"/>
                <w:szCs w:val="30"/>
              </w:rPr>
            </w:pPr>
            <w:r>
              <w:rPr>
                <w:rFonts w:hint="eastAsia"/>
                <w:b/>
                <w:bCs/>
                <w:sz w:val="30"/>
                <w:szCs w:val="30"/>
              </w:rPr>
              <w:t xml:space="preserve">               </w:t>
            </w:r>
            <w:r>
              <w:rPr>
                <w:rFonts w:hint="eastAsia"/>
                <w:sz w:val="30"/>
                <w:szCs w:val="30"/>
              </w:rPr>
              <w:t>投标人名称：</w:t>
            </w:r>
          </w:p>
          <w:p w14:paraId="09E2B660">
            <w:pPr>
              <w:pStyle w:val="19"/>
              <w:spacing w:line="360" w:lineRule="auto"/>
              <w:ind w:left="6600" w:leftChars="2284" w:hanging="1575" w:hangingChars="525"/>
              <w:jc w:val="left"/>
              <w:rPr>
                <w:sz w:val="30"/>
                <w:szCs w:val="30"/>
              </w:rPr>
            </w:pPr>
            <w:r>
              <w:rPr>
                <w:rFonts w:hint="eastAsia"/>
                <w:sz w:val="30"/>
                <w:szCs w:val="30"/>
              </w:rPr>
              <w:t>（盖公章）：</w:t>
            </w:r>
          </w:p>
          <w:p w14:paraId="6437D646">
            <w:pPr>
              <w:pStyle w:val="19"/>
              <w:spacing w:line="360" w:lineRule="auto"/>
              <w:ind w:left="5105" w:leftChars="1332" w:hanging="2175" w:hangingChars="725"/>
              <w:jc w:val="left"/>
              <w:rPr>
                <w:sz w:val="30"/>
                <w:szCs w:val="30"/>
              </w:rPr>
            </w:pPr>
            <w:r>
              <w:rPr>
                <w:rFonts w:hint="eastAsia"/>
                <w:sz w:val="30"/>
                <w:szCs w:val="30"/>
              </w:rPr>
              <w:t xml:space="preserve">                                           地址：</w:t>
            </w:r>
          </w:p>
          <w:p w14:paraId="7BFC6DC1">
            <w:pPr>
              <w:pStyle w:val="19"/>
              <w:spacing w:line="360" w:lineRule="auto"/>
              <w:ind w:left="4805" w:leftChars="1332" w:hanging="1875" w:hangingChars="625"/>
              <w:jc w:val="left"/>
              <w:rPr>
                <w:b/>
                <w:bCs/>
                <w:sz w:val="30"/>
                <w:szCs w:val="30"/>
              </w:rPr>
            </w:pPr>
            <w:r>
              <w:rPr>
                <w:rFonts w:hint="eastAsia"/>
                <w:sz w:val="30"/>
                <w:szCs w:val="30"/>
              </w:rPr>
              <w:t xml:space="preserve">                                           日期：</w:t>
            </w:r>
          </w:p>
          <w:p w14:paraId="25ABA26F">
            <w:pPr>
              <w:pStyle w:val="19"/>
              <w:spacing w:line="360" w:lineRule="auto"/>
              <w:ind w:firstLine="0" w:firstLineChars="0"/>
              <w:jc w:val="left"/>
              <w:rPr>
                <w:sz w:val="24"/>
              </w:rPr>
            </w:pPr>
          </w:p>
          <w:p w14:paraId="42B10EEA">
            <w:pPr>
              <w:pStyle w:val="19"/>
              <w:spacing w:line="360" w:lineRule="auto"/>
              <w:ind w:firstLine="0" w:firstLineChars="0"/>
              <w:jc w:val="left"/>
              <w:rPr>
                <w:sz w:val="24"/>
              </w:rPr>
            </w:pPr>
            <w:r>
              <w:rPr>
                <w:sz w:val="24"/>
              </w:rPr>
              <w:br w:type="page"/>
            </w:r>
          </w:p>
          <w:p w14:paraId="2CE5CF9A">
            <w:pPr>
              <w:pStyle w:val="19"/>
              <w:spacing w:line="276" w:lineRule="auto"/>
              <w:ind w:left="0" w:leftChars="0" w:firstLine="0" w:firstLineChars="0"/>
              <w:rPr>
                <w:b/>
                <w:bCs/>
                <w:sz w:val="24"/>
              </w:rPr>
            </w:pPr>
            <w:r>
              <w:rPr>
                <w:rFonts w:hint="eastAsia"/>
                <w:b/>
                <w:bCs/>
                <w:sz w:val="24"/>
              </w:rPr>
              <w:t>附件3：</w:t>
            </w:r>
          </w:p>
          <w:p w14:paraId="5FF4EB92">
            <w:pPr>
              <w:pStyle w:val="19"/>
              <w:spacing w:line="276" w:lineRule="auto"/>
              <w:ind w:firstLine="0" w:firstLineChars="0"/>
              <w:rPr>
                <w:b/>
                <w:bCs/>
                <w:sz w:val="24"/>
              </w:rPr>
            </w:pPr>
          </w:p>
          <w:p w14:paraId="39BE1A2D">
            <w:pPr>
              <w:pStyle w:val="19"/>
              <w:spacing w:line="276" w:lineRule="auto"/>
              <w:ind w:firstLine="482"/>
              <w:jc w:val="center"/>
              <w:rPr>
                <w:b/>
                <w:bCs/>
                <w:sz w:val="24"/>
              </w:rPr>
            </w:pPr>
          </w:p>
          <w:p w14:paraId="57C6D174">
            <w:pPr>
              <w:pStyle w:val="19"/>
              <w:spacing w:line="276" w:lineRule="auto"/>
              <w:ind w:firstLine="643"/>
              <w:jc w:val="both"/>
              <w:rPr>
                <w:b/>
                <w:bCs/>
                <w:sz w:val="32"/>
                <w:szCs w:val="32"/>
              </w:rPr>
            </w:pPr>
            <w:r>
              <w:rPr>
                <w:rFonts w:hint="eastAsia"/>
                <w:b/>
                <w:bCs/>
                <w:sz w:val="32"/>
                <w:szCs w:val="32"/>
              </w:rPr>
              <w:t>开标一览表</w:t>
            </w:r>
          </w:p>
          <w:p w14:paraId="4B5A2613">
            <w:pPr>
              <w:pStyle w:val="19"/>
              <w:spacing w:line="276" w:lineRule="auto"/>
              <w:ind w:firstLine="643"/>
              <w:jc w:val="center"/>
              <w:rPr>
                <w:b/>
                <w:bCs/>
                <w:sz w:val="32"/>
                <w:szCs w:val="32"/>
              </w:rPr>
            </w:pPr>
          </w:p>
          <w:p w14:paraId="3FBC45D5">
            <w:pPr>
              <w:pStyle w:val="19"/>
              <w:spacing w:line="276" w:lineRule="auto"/>
              <w:ind w:left="0" w:leftChars="0" w:firstLine="0" w:firstLineChars="0"/>
              <w:jc w:val="left"/>
              <w:rPr>
                <w:sz w:val="32"/>
                <w:szCs w:val="32"/>
                <w:u w:val="single"/>
              </w:rPr>
            </w:pPr>
            <w:r>
              <w:rPr>
                <w:rFonts w:hint="eastAsia"/>
                <w:sz w:val="32"/>
                <w:szCs w:val="32"/>
              </w:rPr>
              <w:t xml:space="preserve">投标人名称：                                   </w:t>
            </w:r>
          </w:p>
          <w:tbl>
            <w:tblPr>
              <w:tblStyle w:val="15"/>
              <w:tblW w:w="4817" w:type="pct"/>
              <w:tblInd w:w="0" w:type="dxa"/>
              <w:tblLayout w:type="fixed"/>
              <w:tblCellMar>
                <w:top w:w="0" w:type="dxa"/>
                <w:left w:w="108" w:type="dxa"/>
                <w:bottom w:w="0" w:type="dxa"/>
                <w:right w:w="108" w:type="dxa"/>
              </w:tblCellMar>
            </w:tblPr>
            <w:tblGrid>
              <w:gridCol w:w="601"/>
              <w:gridCol w:w="1883"/>
              <w:gridCol w:w="1149"/>
              <w:gridCol w:w="1149"/>
              <w:gridCol w:w="1047"/>
              <w:gridCol w:w="1523"/>
              <w:gridCol w:w="1166"/>
            </w:tblGrid>
            <w:tr w14:paraId="1971BE45">
              <w:tblPrEx>
                <w:tblCellMar>
                  <w:top w:w="0" w:type="dxa"/>
                  <w:left w:w="108" w:type="dxa"/>
                  <w:bottom w:w="0" w:type="dxa"/>
                  <w:right w:w="108" w:type="dxa"/>
                </w:tblCellMar>
              </w:tblPrEx>
              <w:trPr>
                <w:trHeight w:val="184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5673">
                  <w:pPr>
                    <w:keepNext w:val="0"/>
                    <w:keepLines w:val="0"/>
                    <w:widowControl/>
                    <w:suppressLineNumbers w:val="0"/>
                    <w:jc w:val="center"/>
                    <w:textAlignment w:val="center"/>
                    <w:rPr>
                      <w:rFonts w:ascii="宋体" w:hAnsi="宋体" w:cs="宋体"/>
                      <w:szCs w:val="21"/>
                    </w:rPr>
                  </w:pPr>
                  <w:r>
                    <w:rPr>
                      <w:rFonts w:hint="eastAsia" w:ascii="宋体" w:hAnsi="宋体" w:eastAsia="宋体" w:cs="宋体"/>
                      <w:b/>
                      <w:bCs/>
                      <w:color w:val="auto"/>
                      <w:kern w:val="2"/>
                      <w:sz w:val="21"/>
                      <w:szCs w:val="21"/>
                      <w:highlight w:val="none"/>
                      <w:u w:val="none"/>
                      <w:lang w:val="en-US" w:eastAsia="zh-CN" w:bidi="ar"/>
                    </w:rPr>
                    <w:t>序号</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912C">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b/>
                      <w:bCs/>
                      <w:color w:val="auto"/>
                      <w:kern w:val="2"/>
                      <w:sz w:val="21"/>
                      <w:szCs w:val="21"/>
                      <w:highlight w:val="none"/>
                      <w:u w:val="none"/>
                      <w:lang w:val="en-US" w:eastAsia="zh-CN" w:bidi="ar"/>
                    </w:rPr>
                    <w:t>物资名称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40A">
                  <w:pPr>
                    <w:keepNext w:val="0"/>
                    <w:keepLines w:val="0"/>
                    <w:widowControl/>
                    <w:suppressLineNumbers w:val="0"/>
                    <w:jc w:val="center"/>
                    <w:textAlignment w:val="center"/>
                    <w:rPr>
                      <w:rFonts w:hint="default" w:ascii="宋体" w:hAnsi="宋体" w:eastAsia="宋体" w:cs="宋体"/>
                      <w:b/>
                      <w:bCs/>
                      <w:color w:val="auto"/>
                      <w:kern w:val="2"/>
                      <w:sz w:val="21"/>
                      <w:szCs w:val="21"/>
                      <w:highlight w:val="none"/>
                      <w:u w:val="none"/>
                      <w:lang w:val="en-US" w:eastAsia="zh-CN" w:bidi="ar"/>
                    </w:rPr>
                  </w:pPr>
                  <w:r>
                    <w:rPr>
                      <w:rFonts w:hint="eastAsia" w:ascii="宋体" w:hAnsi="宋体" w:eastAsia="宋体" w:cs="宋体"/>
                      <w:b/>
                      <w:bCs/>
                      <w:color w:val="auto"/>
                      <w:kern w:val="2"/>
                      <w:sz w:val="21"/>
                      <w:szCs w:val="21"/>
                      <w:highlight w:val="none"/>
                      <w:u w:val="none"/>
                      <w:lang w:val="en-US" w:eastAsia="zh-CN" w:bidi="ar"/>
                    </w:rPr>
                    <w:t>品牌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E555">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b/>
                      <w:bCs/>
                      <w:color w:val="auto"/>
                      <w:kern w:val="2"/>
                      <w:sz w:val="21"/>
                      <w:szCs w:val="21"/>
                      <w:highlight w:val="none"/>
                      <w:u w:val="none"/>
                      <w:lang w:val="en-US" w:eastAsia="zh-CN" w:bidi="ar"/>
                    </w:rPr>
                    <w:t>规格参数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E788">
                  <w:pPr>
                    <w:keepNext w:val="0"/>
                    <w:keepLines w:val="0"/>
                    <w:widowControl/>
                    <w:suppressLineNumbers w:val="0"/>
                    <w:jc w:val="center"/>
                    <w:textAlignment w:val="center"/>
                    <w:rPr>
                      <w:rFonts w:hint="eastAsia" w:ascii="宋体" w:hAnsi="宋体" w:eastAsia="宋体" w:cs="宋体"/>
                      <w:szCs w:val="21"/>
                      <w:lang w:eastAsia="zh-CN"/>
                    </w:rPr>
                  </w:pPr>
                  <w:r>
                    <w:rPr>
                      <w:rFonts w:hint="eastAsia" w:ascii="宋体" w:hAnsi="宋体" w:eastAsia="宋体" w:cs="宋体"/>
                      <w:b/>
                      <w:bCs/>
                      <w:color w:val="auto"/>
                      <w:kern w:val="2"/>
                      <w:sz w:val="21"/>
                      <w:szCs w:val="21"/>
                      <w:highlight w:val="none"/>
                      <w:u w:val="none"/>
                      <w:lang w:val="en-US" w:eastAsia="zh-CN" w:bidi="ar"/>
                    </w:rPr>
                    <w:t>单位</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0ECE">
                  <w:pPr>
                    <w:keepNext w:val="0"/>
                    <w:keepLines w:val="0"/>
                    <w:widowControl/>
                    <w:suppressLineNumbers w:val="0"/>
                    <w:jc w:val="center"/>
                    <w:textAlignment w:val="center"/>
                    <w:rPr>
                      <w:rFonts w:ascii="宋体" w:hAnsi="宋体" w:cs="宋体"/>
                      <w:szCs w:val="21"/>
                    </w:rPr>
                  </w:pPr>
                  <w:r>
                    <w:rPr>
                      <w:rFonts w:hint="eastAsia" w:hAnsi="宋体" w:cs="宋体"/>
                      <w:b/>
                      <w:bCs/>
                      <w:color w:val="auto"/>
                      <w:kern w:val="2"/>
                      <w:sz w:val="21"/>
                      <w:szCs w:val="21"/>
                      <w:highlight w:val="none"/>
                      <w:u w:val="none"/>
                      <w:lang w:val="en-US" w:eastAsia="zh-CN" w:bidi="ar"/>
                    </w:rPr>
                    <w:t>最高限价</w:t>
                  </w:r>
                  <w:r>
                    <w:rPr>
                      <w:rFonts w:hint="eastAsia" w:ascii="宋体" w:hAnsi="宋体" w:eastAsia="宋体" w:cs="宋体"/>
                      <w:b/>
                      <w:bCs/>
                      <w:color w:val="auto"/>
                      <w:kern w:val="2"/>
                      <w:sz w:val="21"/>
                      <w:szCs w:val="21"/>
                      <w:highlight w:val="none"/>
                      <w:u w:val="none"/>
                      <w:lang w:val="en-US" w:eastAsia="zh-CN" w:bidi="ar"/>
                    </w:rPr>
                    <w:t>（单位：元）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36D4">
                  <w:pPr>
                    <w:keepNext w:val="0"/>
                    <w:keepLines w:val="0"/>
                    <w:widowControl/>
                    <w:suppressLineNumbers w:val="0"/>
                    <w:jc w:val="center"/>
                    <w:textAlignment w:val="center"/>
                    <w:rPr>
                      <w:rFonts w:ascii="宋体" w:hAnsi="宋体" w:cs="宋体"/>
                      <w:szCs w:val="21"/>
                    </w:rPr>
                  </w:pPr>
                  <w:r>
                    <w:rPr>
                      <w:rFonts w:hint="eastAsia" w:ascii="宋体" w:hAnsi="宋体" w:eastAsia="宋体" w:cs="宋体"/>
                      <w:b/>
                      <w:bCs/>
                      <w:color w:val="auto"/>
                      <w:kern w:val="2"/>
                      <w:sz w:val="21"/>
                      <w:szCs w:val="21"/>
                      <w:highlight w:val="none"/>
                      <w:u w:val="none"/>
                      <w:lang w:val="en-US" w:eastAsia="zh-CN" w:bidi="ar"/>
                    </w:rPr>
                    <w:t>年预估使用量</w:t>
                  </w:r>
                </w:p>
              </w:tc>
            </w:tr>
            <w:tr w14:paraId="7B07DABC">
              <w:tblPrEx>
                <w:tblCellMar>
                  <w:top w:w="0" w:type="dxa"/>
                  <w:left w:w="108" w:type="dxa"/>
                  <w:bottom w:w="0" w:type="dxa"/>
                  <w:right w:w="108" w:type="dxa"/>
                </w:tblCellMar>
              </w:tblPrEx>
              <w:trPr>
                <w:trHeight w:val="1020"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C16D">
                  <w:pPr>
                    <w:widowControl/>
                    <w:jc w:val="center"/>
                    <w:textAlignment w:val="center"/>
                    <w:rPr>
                      <w:rFonts w:hint="eastAsia" w:ascii="宋体" w:hAnsi="宋体" w:eastAsia="宋体" w:cs="宋体"/>
                      <w:szCs w:val="21"/>
                      <w:lang w:eastAsia="zh-CN"/>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top"/>
                </w:tcPr>
                <w:p w14:paraId="0FA619F9">
                  <w:pPr>
                    <w:widowControl/>
                    <w:spacing w:line="360" w:lineRule="auto"/>
                    <w:jc w:val="both"/>
                    <w:rPr>
                      <w:rFonts w:hint="eastAsia" w:ascii="Arial" w:hAnsi="Arial" w:cs="Arial"/>
                      <w:i w:val="0"/>
                      <w:iCs w:val="0"/>
                      <w:caps w:val="0"/>
                      <w:color w:val="333333"/>
                      <w:spacing w:val="0"/>
                      <w:sz w:val="21"/>
                      <w:szCs w:val="21"/>
                      <w:shd w:val="clear" w:fill="FFFFFF"/>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E1B2">
                  <w:pPr>
                    <w:jc w:val="center"/>
                    <w:rPr>
                      <w:rFonts w:hint="eastAsia" w:ascii="宋体" w:hAnsi="宋体" w:eastAsia="宋体" w:cs="宋体"/>
                      <w:szCs w:val="21"/>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DD64">
                  <w:pPr>
                    <w:jc w:val="center"/>
                    <w:rPr>
                      <w:rFonts w:hint="eastAsia" w:ascii="宋体" w:hAnsi="宋体" w:eastAsia="宋体" w:cs="宋体"/>
                      <w:szCs w:val="21"/>
                      <w:lang w:val="en-US" w:eastAsia="zh-CN"/>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top"/>
                </w:tcPr>
                <w:p w14:paraId="27A862F2">
                  <w:pPr>
                    <w:jc w:val="both"/>
                    <w:rPr>
                      <w:sz w:val="21"/>
                      <w:szCs w:val="21"/>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E593">
                  <w:pPr>
                    <w:widowControl/>
                    <w:jc w:val="center"/>
                    <w:textAlignment w:val="center"/>
                    <w:rPr>
                      <w:rFonts w:hint="eastAsia" w:ascii="宋体" w:hAnsi="宋体" w:eastAsia="宋体" w:cs="宋体"/>
                      <w:szCs w:val="21"/>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9C53">
                  <w:pPr>
                    <w:widowControl/>
                    <w:jc w:val="center"/>
                    <w:textAlignment w:val="center"/>
                    <w:rPr>
                      <w:rFonts w:hint="default" w:eastAsia="宋体"/>
                      <w:szCs w:val="21"/>
                      <w:lang w:val="en-US" w:eastAsia="zh-CN"/>
                    </w:rPr>
                  </w:pPr>
                </w:p>
              </w:tc>
            </w:tr>
          </w:tbl>
          <w:p w14:paraId="6F3C0B7B">
            <w:pPr>
              <w:pStyle w:val="19"/>
              <w:spacing w:line="276" w:lineRule="auto"/>
              <w:ind w:firstLine="0" w:firstLineChars="0"/>
              <w:jc w:val="left"/>
              <w:rPr>
                <w:sz w:val="32"/>
                <w:szCs w:val="32"/>
              </w:rPr>
            </w:pPr>
          </w:p>
          <w:p w14:paraId="254BF64A">
            <w:pPr>
              <w:pStyle w:val="19"/>
              <w:spacing w:line="276" w:lineRule="auto"/>
              <w:ind w:firstLine="0" w:firstLineChars="0"/>
              <w:jc w:val="left"/>
              <w:rPr>
                <w:sz w:val="32"/>
                <w:szCs w:val="32"/>
              </w:rPr>
            </w:pPr>
          </w:p>
          <w:p w14:paraId="5D85BE38">
            <w:pPr>
              <w:pStyle w:val="19"/>
              <w:spacing w:line="276" w:lineRule="auto"/>
              <w:ind w:left="0" w:leftChars="0" w:firstLine="0" w:firstLineChars="0"/>
              <w:jc w:val="left"/>
              <w:rPr>
                <w:sz w:val="32"/>
                <w:szCs w:val="32"/>
                <w:u w:val="single"/>
              </w:rPr>
            </w:pPr>
            <w:r>
              <w:rPr>
                <w:rFonts w:hint="eastAsia"/>
                <w:sz w:val="32"/>
                <w:szCs w:val="32"/>
              </w:rPr>
              <w:t>投标人名称（盖公章）：</w:t>
            </w:r>
            <w:r>
              <w:rPr>
                <w:rFonts w:hint="eastAsia"/>
                <w:sz w:val="32"/>
                <w:szCs w:val="32"/>
                <w:u w:val="single"/>
              </w:rPr>
              <w:t xml:space="preserve">                             </w:t>
            </w:r>
          </w:p>
          <w:p w14:paraId="07D9E233">
            <w:pPr>
              <w:pStyle w:val="19"/>
              <w:spacing w:line="276" w:lineRule="auto"/>
              <w:ind w:firstLine="640"/>
              <w:jc w:val="left"/>
              <w:rPr>
                <w:sz w:val="32"/>
                <w:szCs w:val="32"/>
              </w:rPr>
            </w:pPr>
          </w:p>
          <w:p w14:paraId="7217EE03">
            <w:pPr>
              <w:pStyle w:val="19"/>
              <w:spacing w:line="276" w:lineRule="auto"/>
              <w:ind w:left="0" w:leftChars="0" w:firstLine="0" w:firstLineChars="0"/>
              <w:jc w:val="left"/>
              <w:rPr>
                <w:sz w:val="32"/>
                <w:szCs w:val="32"/>
              </w:rPr>
            </w:pPr>
            <w:r>
              <w:rPr>
                <w:rFonts w:hint="eastAsia"/>
                <w:sz w:val="32"/>
                <w:szCs w:val="32"/>
              </w:rPr>
              <w:t>法定代表人或投标人授权代表（签名或盖章）：</w:t>
            </w:r>
            <w:r>
              <w:rPr>
                <w:rFonts w:hint="eastAsia"/>
                <w:sz w:val="32"/>
                <w:szCs w:val="32"/>
                <w:u w:val="single"/>
              </w:rPr>
              <w:t xml:space="preserve">             </w:t>
            </w:r>
            <w:r>
              <w:rPr>
                <w:rFonts w:hint="eastAsia"/>
                <w:sz w:val="32"/>
                <w:szCs w:val="32"/>
              </w:rPr>
              <w:t xml:space="preserve"> </w:t>
            </w:r>
          </w:p>
          <w:p w14:paraId="6000A75B">
            <w:pPr>
              <w:pStyle w:val="19"/>
              <w:spacing w:line="276" w:lineRule="auto"/>
              <w:ind w:left="0" w:leftChars="0" w:firstLine="0" w:firstLineChars="0"/>
              <w:jc w:val="left"/>
              <w:rPr>
                <w:sz w:val="32"/>
                <w:szCs w:val="32"/>
              </w:rPr>
            </w:pPr>
            <w:r>
              <w:rPr>
                <w:rFonts w:hint="eastAsia"/>
                <w:sz w:val="32"/>
                <w:szCs w:val="32"/>
              </w:rPr>
              <w:t>职务：</w:t>
            </w:r>
            <w:r>
              <w:rPr>
                <w:rFonts w:hint="eastAsia"/>
                <w:sz w:val="32"/>
                <w:szCs w:val="32"/>
                <w:u w:val="single"/>
              </w:rPr>
              <w:t xml:space="preserve">        </w:t>
            </w:r>
            <w:r>
              <w:rPr>
                <w:rFonts w:hint="eastAsia"/>
                <w:sz w:val="32"/>
                <w:szCs w:val="32"/>
              </w:rPr>
              <w:t xml:space="preserve"> </w:t>
            </w:r>
          </w:p>
          <w:p w14:paraId="1EB30B33">
            <w:pPr>
              <w:pStyle w:val="19"/>
              <w:spacing w:line="276" w:lineRule="auto"/>
              <w:ind w:left="0" w:leftChars="0" w:firstLine="0" w:firstLineChars="0"/>
              <w:jc w:val="left"/>
              <w:rPr>
                <w:sz w:val="32"/>
                <w:szCs w:val="32"/>
              </w:rPr>
            </w:pPr>
            <w:r>
              <w:rPr>
                <w:rFonts w:hint="eastAsia"/>
                <w:sz w:val="32"/>
                <w:szCs w:val="32"/>
              </w:rPr>
              <w:t>日期</w:t>
            </w:r>
            <w:r>
              <w:rPr>
                <w:rFonts w:hint="eastAsia"/>
                <w:sz w:val="32"/>
                <w:szCs w:val="32"/>
                <w:u w:val="single"/>
              </w:rPr>
              <w:t xml:space="preserve">       </w:t>
            </w:r>
          </w:p>
          <w:p w14:paraId="0C36D0D3">
            <w:pPr>
              <w:pStyle w:val="19"/>
              <w:spacing w:line="360" w:lineRule="auto"/>
              <w:ind w:firstLine="0" w:firstLineChars="0"/>
              <w:jc w:val="left"/>
              <w:rPr>
                <w:sz w:val="32"/>
                <w:szCs w:val="32"/>
              </w:rPr>
            </w:pPr>
          </w:p>
          <w:p w14:paraId="6B399CCB">
            <w:pPr>
              <w:pStyle w:val="19"/>
              <w:spacing w:line="276" w:lineRule="auto"/>
              <w:ind w:firstLine="0" w:firstLineChars="0"/>
              <w:rPr>
                <w:b/>
                <w:bCs/>
                <w:sz w:val="32"/>
                <w:szCs w:val="32"/>
              </w:rPr>
            </w:pPr>
          </w:p>
          <w:p w14:paraId="17BD4266">
            <w:pPr>
              <w:pStyle w:val="19"/>
              <w:spacing w:line="276" w:lineRule="auto"/>
              <w:ind w:firstLine="0" w:firstLineChars="0"/>
              <w:rPr>
                <w:b/>
                <w:bCs/>
                <w:sz w:val="32"/>
                <w:szCs w:val="32"/>
              </w:rPr>
            </w:pPr>
          </w:p>
          <w:p w14:paraId="7210DAAA">
            <w:pPr>
              <w:pStyle w:val="19"/>
              <w:spacing w:line="276" w:lineRule="auto"/>
              <w:ind w:firstLine="0" w:firstLineChars="0"/>
              <w:rPr>
                <w:b/>
                <w:bCs/>
                <w:sz w:val="32"/>
                <w:szCs w:val="32"/>
              </w:rPr>
            </w:pPr>
          </w:p>
          <w:p w14:paraId="222D61F5">
            <w:pPr>
              <w:pStyle w:val="19"/>
              <w:spacing w:line="276" w:lineRule="auto"/>
              <w:ind w:left="0" w:leftChars="0" w:firstLine="0" w:firstLineChars="0"/>
              <w:rPr>
                <w:rFonts w:hint="eastAsia"/>
                <w:b/>
                <w:bCs/>
                <w:sz w:val="32"/>
                <w:szCs w:val="32"/>
              </w:rPr>
            </w:pPr>
          </w:p>
          <w:p w14:paraId="79611284">
            <w:pPr>
              <w:pStyle w:val="19"/>
              <w:spacing w:line="276" w:lineRule="auto"/>
              <w:ind w:left="0" w:leftChars="0" w:firstLine="0" w:firstLineChars="0"/>
              <w:rPr>
                <w:b/>
                <w:bCs/>
                <w:sz w:val="32"/>
                <w:szCs w:val="32"/>
              </w:rPr>
            </w:pPr>
            <w:r>
              <w:rPr>
                <w:rFonts w:hint="eastAsia"/>
                <w:b/>
                <w:bCs/>
                <w:sz w:val="32"/>
                <w:szCs w:val="32"/>
              </w:rPr>
              <w:t>附件4：</w:t>
            </w:r>
          </w:p>
          <w:p w14:paraId="3D5F4826">
            <w:pPr>
              <w:pStyle w:val="19"/>
              <w:spacing w:line="276" w:lineRule="auto"/>
              <w:ind w:firstLine="643"/>
              <w:jc w:val="center"/>
              <w:rPr>
                <w:b/>
                <w:bCs/>
                <w:sz w:val="32"/>
                <w:szCs w:val="32"/>
              </w:rPr>
            </w:pPr>
            <w:r>
              <w:rPr>
                <w:rFonts w:hint="eastAsia"/>
                <w:b/>
                <w:bCs/>
                <w:sz w:val="32"/>
                <w:szCs w:val="32"/>
              </w:rPr>
              <w:t>最终报价</w:t>
            </w:r>
          </w:p>
          <w:p w14:paraId="4657C489">
            <w:pPr>
              <w:pStyle w:val="19"/>
              <w:spacing w:line="276" w:lineRule="auto"/>
              <w:ind w:left="0" w:leftChars="0" w:firstLine="0" w:firstLineChars="0"/>
              <w:jc w:val="left"/>
              <w:rPr>
                <w:sz w:val="32"/>
                <w:szCs w:val="32"/>
                <w:u w:val="single"/>
              </w:rPr>
            </w:pPr>
            <w:r>
              <w:rPr>
                <w:rFonts w:hint="eastAsia"/>
                <w:sz w:val="32"/>
                <w:szCs w:val="32"/>
              </w:rPr>
              <w:t xml:space="preserve">投标人名称：                                   </w:t>
            </w:r>
          </w:p>
          <w:tbl>
            <w:tblPr>
              <w:tblStyle w:val="15"/>
              <w:tblW w:w="9432" w:type="dxa"/>
              <w:tblInd w:w="0" w:type="dxa"/>
              <w:tblLayout w:type="fixed"/>
              <w:tblCellMar>
                <w:top w:w="0" w:type="dxa"/>
                <w:left w:w="108" w:type="dxa"/>
                <w:bottom w:w="0" w:type="dxa"/>
                <w:right w:w="108" w:type="dxa"/>
              </w:tblCellMar>
            </w:tblPr>
            <w:tblGrid>
              <w:gridCol w:w="665"/>
              <w:gridCol w:w="844"/>
              <w:gridCol w:w="1191"/>
              <w:gridCol w:w="1115"/>
              <w:gridCol w:w="694"/>
              <w:gridCol w:w="1369"/>
              <w:gridCol w:w="1116"/>
              <w:gridCol w:w="2438"/>
            </w:tblGrid>
            <w:tr w14:paraId="55118B27">
              <w:trPr>
                <w:trHeight w:val="18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6234">
                  <w:pPr>
                    <w:keepNext w:val="0"/>
                    <w:keepLines w:val="0"/>
                    <w:widowControl/>
                    <w:suppressLineNumbers w:val="0"/>
                    <w:jc w:val="center"/>
                    <w:textAlignment w:val="center"/>
                    <w:rPr>
                      <w:rFonts w:ascii="宋体" w:hAnsi="宋体" w:cs="宋体"/>
                      <w:szCs w:val="21"/>
                    </w:rPr>
                  </w:pPr>
                  <w:r>
                    <w:rPr>
                      <w:rFonts w:hint="eastAsia" w:ascii="宋体" w:hAnsi="宋体" w:eastAsia="宋体" w:cs="宋体"/>
                      <w:b/>
                      <w:bCs/>
                      <w:color w:val="auto"/>
                      <w:kern w:val="2"/>
                      <w:sz w:val="21"/>
                      <w:szCs w:val="21"/>
                      <w:highlight w:val="none"/>
                      <w:u w:val="none"/>
                      <w:lang w:val="en-US" w:eastAsia="zh-CN" w:bidi="ar"/>
                    </w:rPr>
                    <w:t>序号</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90AA">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b/>
                      <w:bCs/>
                      <w:color w:val="auto"/>
                      <w:kern w:val="2"/>
                      <w:sz w:val="21"/>
                      <w:szCs w:val="21"/>
                      <w:highlight w:val="none"/>
                      <w:u w:val="none"/>
                      <w:lang w:val="en-US" w:eastAsia="zh-CN" w:bidi="ar"/>
                    </w:rPr>
                    <w:t>物资名称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8C25">
                  <w:pPr>
                    <w:keepNext w:val="0"/>
                    <w:keepLines w:val="0"/>
                    <w:widowControl/>
                    <w:suppressLineNumbers w:val="0"/>
                    <w:jc w:val="center"/>
                    <w:textAlignment w:val="center"/>
                    <w:rPr>
                      <w:rFonts w:hint="default" w:ascii="宋体" w:hAnsi="宋体" w:eastAsia="宋体" w:cs="宋体"/>
                      <w:b/>
                      <w:bCs/>
                      <w:color w:val="auto"/>
                      <w:kern w:val="2"/>
                      <w:sz w:val="21"/>
                      <w:szCs w:val="21"/>
                      <w:highlight w:val="none"/>
                      <w:u w:val="none"/>
                      <w:lang w:val="en-US" w:eastAsia="zh-CN" w:bidi="ar"/>
                    </w:rPr>
                  </w:pPr>
                  <w:r>
                    <w:rPr>
                      <w:rFonts w:hint="eastAsia" w:ascii="宋体" w:hAnsi="宋体" w:eastAsia="宋体" w:cs="宋体"/>
                      <w:b/>
                      <w:bCs/>
                      <w:color w:val="auto"/>
                      <w:kern w:val="2"/>
                      <w:sz w:val="21"/>
                      <w:szCs w:val="21"/>
                      <w:highlight w:val="none"/>
                      <w:u w:val="none"/>
                      <w:lang w:val="en-US" w:eastAsia="zh-CN" w:bidi="ar"/>
                    </w:rPr>
                    <w:t>品牌</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B7A2">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b/>
                      <w:bCs/>
                      <w:color w:val="auto"/>
                      <w:kern w:val="2"/>
                      <w:sz w:val="21"/>
                      <w:szCs w:val="21"/>
                      <w:highlight w:val="none"/>
                      <w:u w:val="none"/>
                      <w:lang w:val="en-US" w:eastAsia="zh-CN" w:bidi="ar"/>
                    </w:rPr>
                    <w:t>规格参数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376E">
                  <w:pPr>
                    <w:keepNext w:val="0"/>
                    <w:keepLines w:val="0"/>
                    <w:widowControl/>
                    <w:suppressLineNumbers w:val="0"/>
                    <w:jc w:val="center"/>
                    <w:textAlignment w:val="center"/>
                    <w:rPr>
                      <w:rFonts w:hint="eastAsia" w:ascii="宋体" w:hAnsi="宋体" w:eastAsia="宋体" w:cs="宋体"/>
                      <w:szCs w:val="21"/>
                      <w:lang w:eastAsia="zh-CN"/>
                    </w:rPr>
                  </w:pPr>
                  <w:r>
                    <w:rPr>
                      <w:rFonts w:hint="eastAsia" w:ascii="宋体" w:hAnsi="宋体" w:eastAsia="宋体" w:cs="宋体"/>
                      <w:b/>
                      <w:bCs/>
                      <w:color w:val="auto"/>
                      <w:kern w:val="2"/>
                      <w:sz w:val="21"/>
                      <w:szCs w:val="21"/>
                      <w:highlight w:val="none"/>
                      <w:u w:val="none"/>
                      <w:lang w:val="en-US" w:eastAsia="zh-CN" w:bidi="ar"/>
                    </w:rPr>
                    <w:t>单位</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86E3">
                  <w:pPr>
                    <w:keepNext w:val="0"/>
                    <w:keepLines w:val="0"/>
                    <w:widowControl/>
                    <w:suppressLineNumbers w:val="0"/>
                    <w:jc w:val="center"/>
                    <w:textAlignment w:val="center"/>
                    <w:rPr>
                      <w:rFonts w:ascii="宋体" w:hAnsi="宋体" w:cs="宋体"/>
                      <w:szCs w:val="21"/>
                    </w:rPr>
                  </w:pPr>
                  <w:r>
                    <w:rPr>
                      <w:rFonts w:hint="eastAsia" w:hAnsi="宋体" w:cs="宋体"/>
                      <w:b/>
                      <w:bCs/>
                      <w:color w:val="auto"/>
                      <w:kern w:val="2"/>
                      <w:sz w:val="21"/>
                      <w:szCs w:val="21"/>
                      <w:highlight w:val="none"/>
                      <w:u w:val="none"/>
                      <w:lang w:val="en-US" w:eastAsia="zh-CN" w:bidi="ar"/>
                    </w:rPr>
                    <w:t>最高限价</w:t>
                  </w:r>
                  <w:r>
                    <w:rPr>
                      <w:rFonts w:hint="eastAsia" w:ascii="宋体" w:hAnsi="宋体" w:eastAsia="宋体" w:cs="宋体"/>
                      <w:b/>
                      <w:bCs/>
                      <w:color w:val="auto"/>
                      <w:kern w:val="2"/>
                      <w:sz w:val="21"/>
                      <w:szCs w:val="21"/>
                      <w:highlight w:val="none"/>
                      <w:u w:val="none"/>
                      <w:lang w:val="en-US" w:eastAsia="zh-CN" w:bidi="ar"/>
                    </w:rPr>
                    <w:t>（单位：元）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70D3">
                  <w:pPr>
                    <w:keepNext w:val="0"/>
                    <w:keepLines w:val="0"/>
                    <w:widowControl/>
                    <w:suppressLineNumbers w:val="0"/>
                    <w:jc w:val="center"/>
                    <w:textAlignment w:val="center"/>
                    <w:rPr>
                      <w:rFonts w:ascii="宋体" w:hAnsi="宋体" w:cs="宋体"/>
                      <w:szCs w:val="21"/>
                    </w:rPr>
                  </w:pPr>
                  <w:r>
                    <w:rPr>
                      <w:rFonts w:hint="eastAsia" w:ascii="宋体" w:hAnsi="宋体" w:eastAsia="宋体" w:cs="宋体"/>
                      <w:b/>
                      <w:bCs/>
                      <w:color w:val="auto"/>
                      <w:kern w:val="2"/>
                      <w:sz w:val="21"/>
                      <w:szCs w:val="21"/>
                      <w:highlight w:val="none"/>
                      <w:u w:val="none"/>
                      <w:lang w:val="en-US" w:eastAsia="zh-CN" w:bidi="ar"/>
                    </w:rPr>
                    <w:t>年预估使用量</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24A">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u w:val="none"/>
                      <w:lang w:val="en-US" w:eastAsia="zh-CN" w:bidi="ar"/>
                    </w:rPr>
                  </w:pPr>
                  <w:r>
                    <w:rPr>
                      <w:rFonts w:hint="eastAsia" w:ascii="宋体" w:hAnsi="宋体" w:eastAsia="宋体" w:cs="宋体"/>
                      <w:b/>
                      <w:bCs/>
                      <w:color w:val="auto"/>
                      <w:kern w:val="2"/>
                      <w:sz w:val="21"/>
                      <w:szCs w:val="21"/>
                      <w:highlight w:val="none"/>
                      <w:u w:val="none"/>
                      <w:lang w:val="en-US" w:eastAsia="zh-CN" w:bidi="ar"/>
                    </w:rPr>
                    <w:t>投标单价报价（元）</w:t>
                  </w:r>
                </w:p>
              </w:tc>
            </w:tr>
            <w:tr w14:paraId="63B384DA">
              <w:tblPrEx>
                <w:tblCellMar>
                  <w:top w:w="0" w:type="dxa"/>
                  <w:left w:w="108" w:type="dxa"/>
                  <w:bottom w:w="0" w:type="dxa"/>
                  <w:right w:w="108" w:type="dxa"/>
                </w:tblCellMar>
              </w:tblPrEx>
              <w:trPr>
                <w:trHeight w:val="10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160B">
                  <w:pPr>
                    <w:widowControl/>
                    <w:jc w:val="center"/>
                    <w:textAlignment w:val="center"/>
                    <w:rPr>
                      <w:rFonts w:hint="eastAsia" w:ascii="宋体" w:hAnsi="宋体" w:eastAsia="宋体" w:cs="宋体"/>
                      <w:szCs w:val="21"/>
                      <w:lang w:eastAsia="zh-CN"/>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top"/>
                </w:tcPr>
                <w:p w14:paraId="1083C6D5">
                  <w:pPr>
                    <w:widowControl/>
                    <w:spacing w:line="360" w:lineRule="auto"/>
                    <w:jc w:val="both"/>
                    <w:rPr>
                      <w:rFonts w:hint="eastAsia" w:ascii="Arial" w:hAnsi="Arial" w:cs="Arial"/>
                      <w:i w:val="0"/>
                      <w:iCs w:val="0"/>
                      <w:caps w:val="0"/>
                      <w:color w:val="333333"/>
                      <w:spacing w:val="0"/>
                      <w:sz w:val="21"/>
                      <w:szCs w:val="21"/>
                      <w:shd w:val="clear" w:fill="FFFFFF"/>
                      <w:lang w:val="en-US" w:eastAsia="zh-CN"/>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24FE">
                  <w:pPr>
                    <w:jc w:val="center"/>
                    <w:rPr>
                      <w:rFonts w:hint="eastAsia" w:ascii="宋体" w:hAnsi="宋体" w:eastAsia="宋体" w:cs="宋体"/>
                      <w:szCs w:val="21"/>
                      <w:lang w:val="en-US" w:eastAsia="zh-CN"/>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90A0">
                  <w:pPr>
                    <w:jc w:val="center"/>
                    <w:rPr>
                      <w:rFonts w:hint="eastAsia" w:ascii="宋体" w:hAnsi="宋体" w:eastAsia="宋体" w:cs="宋体"/>
                      <w:szCs w:val="21"/>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top"/>
                </w:tcPr>
                <w:p w14:paraId="227868C3">
                  <w:pPr>
                    <w:widowControl/>
                    <w:spacing w:line="360" w:lineRule="auto"/>
                    <w:ind w:left="776" w:leftChars="114" w:hanging="525" w:hangingChars="250"/>
                    <w:jc w:val="both"/>
                    <w:rPr>
                      <w:sz w:val="21"/>
                      <w:szCs w:val="21"/>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31C3">
                  <w:pPr>
                    <w:widowControl/>
                    <w:jc w:val="center"/>
                    <w:textAlignment w:val="center"/>
                    <w:rPr>
                      <w:rFonts w:hint="eastAsia" w:ascii="宋体" w:hAnsi="宋体" w:eastAsia="宋体" w:cs="宋体"/>
                      <w:szCs w:val="21"/>
                      <w:lang w:val="en-US" w:eastAsia="zh-CN"/>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61E1">
                  <w:pPr>
                    <w:widowControl/>
                    <w:jc w:val="center"/>
                    <w:textAlignment w:val="center"/>
                    <w:rPr>
                      <w:rFonts w:hint="default" w:eastAsia="宋体"/>
                      <w:szCs w:val="21"/>
                      <w:lang w:val="en-US" w:eastAsia="zh-CN"/>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6CE3">
                  <w:pPr>
                    <w:widowControl/>
                    <w:jc w:val="center"/>
                    <w:textAlignment w:val="center"/>
                    <w:rPr>
                      <w:rFonts w:hint="eastAsia"/>
                      <w:szCs w:val="21"/>
                      <w:lang w:val="en-US" w:eastAsia="zh-CN"/>
                    </w:rPr>
                  </w:pPr>
                </w:p>
              </w:tc>
            </w:tr>
          </w:tbl>
          <w:p w14:paraId="7ED71D60">
            <w:pPr>
              <w:pStyle w:val="19"/>
              <w:spacing w:line="276" w:lineRule="auto"/>
              <w:ind w:firstLine="0" w:firstLineChars="0"/>
              <w:jc w:val="left"/>
              <w:rPr>
                <w:sz w:val="32"/>
                <w:szCs w:val="32"/>
              </w:rPr>
            </w:pPr>
          </w:p>
          <w:p w14:paraId="345B181E">
            <w:pPr>
              <w:pStyle w:val="19"/>
              <w:spacing w:line="276" w:lineRule="auto"/>
              <w:ind w:firstLine="0" w:firstLineChars="0"/>
              <w:jc w:val="left"/>
              <w:rPr>
                <w:sz w:val="32"/>
                <w:szCs w:val="32"/>
              </w:rPr>
            </w:pPr>
          </w:p>
          <w:p w14:paraId="5F5CC618">
            <w:pPr>
              <w:pStyle w:val="19"/>
              <w:spacing w:line="276" w:lineRule="auto"/>
              <w:ind w:left="0" w:leftChars="0" w:firstLine="0" w:firstLineChars="0"/>
              <w:jc w:val="left"/>
              <w:rPr>
                <w:sz w:val="32"/>
                <w:szCs w:val="32"/>
                <w:u w:val="single"/>
              </w:rPr>
            </w:pPr>
            <w:r>
              <w:rPr>
                <w:rFonts w:hint="eastAsia"/>
                <w:sz w:val="32"/>
                <w:szCs w:val="32"/>
              </w:rPr>
              <w:t>投标人名称（盖公章）：</w:t>
            </w:r>
            <w:r>
              <w:rPr>
                <w:rFonts w:hint="eastAsia"/>
                <w:sz w:val="32"/>
                <w:szCs w:val="32"/>
                <w:u w:val="single"/>
              </w:rPr>
              <w:t xml:space="preserve">                             </w:t>
            </w:r>
          </w:p>
          <w:p w14:paraId="39F0DD4E">
            <w:pPr>
              <w:pStyle w:val="19"/>
              <w:spacing w:line="276" w:lineRule="auto"/>
              <w:ind w:firstLine="640"/>
              <w:jc w:val="left"/>
              <w:rPr>
                <w:sz w:val="32"/>
                <w:szCs w:val="32"/>
              </w:rPr>
            </w:pPr>
          </w:p>
          <w:p w14:paraId="3E65B431">
            <w:pPr>
              <w:pStyle w:val="19"/>
              <w:spacing w:line="276" w:lineRule="auto"/>
              <w:ind w:left="0" w:leftChars="0" w:firstLine="0" w:firstLineChars="0"/>
              <w:jc w:val="left"/>
              <w:rPr>
                <w:sz w:val="32"/>
                <w:szCs w:val="32"/>
              </w:rPr>
            </w:pPr>
            <w:r>
              <w:rPr>
                <w:rFonts w:hint="eastAsia"/>
                <w:sz w:val="32"/>
                <w:szCs w:val="32"/>
              </w:rPr>
              <w:t>法定代表人或投标人授权代表（签名或盖章）：</w:t>
            </w:r>
            <w:r>
              <w:rPr>
                <w:rFonts w:hint="eastAsia"/>
                <w:sz w:val="32"/>
                <w:szCs w:val="32"/>
                <w:u w:val="single"/>
              </w:rPr>
              <w:t xml:space="preserve">             </w:t>
            </w:r>
            <w:r>
              <w:rPr>
                <w:rFonts w:hint="eastAsia"/>
                <w:sz w:val="32"/>
                <w:szCs w:val="32"/>
              </w:rPr>
              <w:t xml:space="preserve"> </w:t>
            </w:r>
          </w:p>
          <w:p w14:paraId="7FA2F7A6">
            <w:pPr>
              <w:pStyle w:val="19"/>
              <w:spacing w:line="276" w:lineRule="auto"/>
              <w:ind w:left="0" w:leftChars="0" w:firstLine="0" w:firstLineChars="0"/>
              <w:jc w:val="left"/>
              <w:rPr>
                <w:sz w:val="32"/>
                <w:szCs w:val="32"/>
              </w:rPr>
            </w:pPr>
            <w:r>
              <w:rPr>
                <w:rFonts w:hint="eastAsia"/>
                <w:sz w:val="32"/>
                <w:szCs w:val="32"/>
              </w:rPr>
              <w:t>职务：</w:t>
            </w:r>
            <w:r>
              <w:rPr>
                <w:rFonts w:hint="eastAsia"/>
                <w:sz w:val="32"/>
                <w:szCs w:val="32"/>
                <w:u w:val="single"/>
              </w:rPr>
              <w:t xml:space="preserve">        </w:t>
            </w:r>
            <w:r>
              <w:rPr>
                <w:rFonts w:hint="eastAsia"/>
                <w:sz w:val="32"/>
                <w:szCs w:val="32"/>
              </w:rPr>
              <w:t xml:space="preserve"> </w:t>
            </w:r>
          </w:p>
          <w:p w14:paraId="54492999">
            <w:pPr>
              <w:pStyle w:val="19"/>
              <w:spacing w:line="276" w:lineRule="auto"/>
              <w:ind w:left="0" w:leftChars="0" w:firstLine="0" w:firstLineChars="0"/>
              <w:jc w:val="left"/>
              <w:rPr>
                <w:sz w:val="32"/>
                <w:szCs w:val="32"/>
              </w:rPr>
            </w:pPr>
            <w:r>
              <w:rPr>
                <w:rFonts w:hint="eastAsia"/>
                <w:sz w:val="32"/>
                <w:szCs w:val="32"/>
              </w:rPr>
              <w:t>日期</w:t>
            </w:r>
            <w:r>
              <w:rPr>
                <w:rFonts w:hint="eastAsia"/>
                <w:sz w:val="32"/>
                <w:szCs w:val="32"/>
                <w:u w:val="single"/>
              </w:rPr>
              <w:t xml:space="preserve">       </w:t>
            </w:r>
          </w:p>
          <w:p w14:paraId="08DABE2B">
            <w:pPr>
              <w:widowControl/>
              <w:ind w:firstLine="640" w:firstLineChars="200"/>
              <w:rPr>
                <w:rFonts w:ascii="仿宋" w:hAnsi="仿宋" w:eastAsia="仿宋" w:cs="仿宋"/>
                <w:sz w:val="32"/>
                <w:szCs w:val="32"/>
              </w:rPr>
            </w:pPr>
          </w:p>
          <w:p w14:paraId="6330A311">
            <w:pPr>
              <w:pStyle w:val="6"/>
              <w:rPr>
                <w:rFonts w:ascii="仿宋" w:hAnsi="仿宋" w:eastAsia="仿宋" w:cs="宋体"/>
                <w:b/>
                <w:sz w:val="28"/>
                <w:szCs w:val="28"/>
              </w:rPr>
            </w:pPr>
          </w:p>
        </w:tc>
      </w:tr>
    </w:tbl>
    <w:p w14:paraId="58E7E70C">
      <w:pPr>
        <w:pStyle w:val="6"/>
        <w:rPr>
          <w:rFonts w:ascii="Times New Roman"/>
          <w:sz w:val="20"/>
        </w:rPr>
      </w:pPr>
    </w:p>
    <w:p w14:paraId="5397A8CD">
      <w:pPr>
        <w:pStyle w:val="6"/>
        <w:spacing w:before="6"/>
        <w:rPr>
          <w:rFonts w:ascii="Times New Roman"/>
          <w:sz w:val="18"/>
        </w:rPr>
      </w:pPr>
    </w:p>
    <w:p w14:paraId="6537491A">
      <w:pPr>
        <w:rPr>
          <w:rFonts w:ascii="Times New Roman"/>
          <w:sz w:val="18"/>
        </w:rPr>
      </w:pPr>
    </w:p>
    <w:p w14:paraId="428E8E52">
      <w:pPr>
        <w:pStyle w:val="6"/>
        <w:rPr>
          <w:rFonts w:ascii="Times New Roman"/>
          <w:sz w:val="18"/>
        </w:rPr>
      </w:pPr>
    </w:p>
    <w:p w14:paraId="01F0D316">
      <w:pPr>
        <w:rPr>
          <w:rFonts w:ascii="Times New Roman"/>
          <w:sz w:val="18"/>
        </w:rPr>
      </w:pPr>
    </w:p>
    <w:p w14:paraId="3E010706">
      <w:pPr>
        <w:pStyle w:val="6"/>
        <w:rPr>
          <w:rFonts w:ascii="Times New Roman"/>
          <w:sz w:val="18"/>
        </w:rPr>
      </w:pPr>
    </w:p>
    <w:p w14:paraId="0D56E778">
      <w:pPr>
        <w:rPr>
          <w:rFonts w:ascii="Times New Roman"/>
          <w:sz w:val="18"/>
        </w:rPr>
      </w:pPr>
    </w:p>
    <w:p w14:paraId="0667A8DF">
      <w:pPr>
        <w:pStyle w:val="6"/>
        <w:rPr>
          <w:rFonts w:ascii="Times New Roman"/>
          <w:sz w:val="18"/>
        </w:rPr>
      </w:pPr>
    </w:p>
    <w:p w14:paraId="6D504A7C">
      <w:pPr>
        <w:rPr>
          <w:rFonts w:ascii="Times New Roman"/>
          <w:sz w:val="18"/>
        </w:rPr>
      </w:pPr>
    </w:p>
    <w:p w14:paraId="5348CD7B">
      <w:pPr>
        <w:pStyle w:val="6"/>
        <w:rPr>
          <w:rFonts w:ascii="Times New Roman"/>
          <w:sz w:val="18"/>
        </w:rPr>
      </w:pPr>
    </w:p>
    <w:p w14:paraId="0305D6F9">
      <w:pPr>
        <w:rPr>
          <w:rFonts w:ascii="Times New Roman"/>
          <w:sz w:val="18"/>
        </w:rPr>
      </w:pPr>
    </w:p>
    <w:p w14:paraId="4EA348D4">
      <w:pPr>
        <w:pStyle w:val="6"/>
        <w:rPr>
          <w:rFonts w:ascii="Times New Roman"/>
          <w:sz w:val="18"/>
        </w:rPr>
      </w:pPr>
    </w:p>
    <w:p w14:paraId="0A2E2B36">
      <w:pPr>
        <w:rPr>
          <w:rFonts w:ascii="Times New Roman"/>
          <w:sz w:val="18"/>
        </w:rPr>
      </w:pPr>
    </w:p>
    <w:p w14:paraId="100ADFE0">
      <w:pPr>
        <w:pStyle w:val="6"/>
        <w:rPr>
          <w:rFonts w:ascii="Times New Roman"/>
          <w:sz w:val="18"/>
        </w:rPr>
      </w:pPr>
    </w:p>
    <w:p w14:paraId="560507A9">
      <w:pPr>
        <w:rPr>
          <w:rFonts w:ascii="Times New Roman"/>
          <w:sz w:val="18"/>
        </w:rPr>
      </w:pPr>
    </w:p>
    <w:p w14:paraId="22A3409F">
      <w:pPr>
        <w:pStyle w:val="6"/>
        <w:rPr>
          <w:rFonts w:ascii="Times New Roman"/>
          <w:sz w:val="18"/>
        </w:rPr>
      </w:pPr>
    </w:p>
    <w:p w14:paraId="53F9259D">
      <w:pPr>
        <w:rPr>
          <w:rFonts w:ascii="Times New Roman"/>
          <w:sz w:val="18"/>
        </w:rPr>
      </w:pPr>
    </w:p>
    <w:p w14:paraId="5B260046">
      <w:pPr>
        <w:pStyle w:val="6"/>
        <w:rPr>
          <w:rFonts w:ascii="Times New Roman"/>
          <w:sz w:val="18"/>
        </w:rPr>
      </w:pPr>
    </w:p>
    <w:p w14:paraId="2278A9B7">
      <w:pPr>
        <w:rPr>
          <w:rFonts w:ascii="Times New Roman"/>
          <w:sz w:val="18"/>
        </w:rPr>
      </w:pPr>
    </w:p>
    <w:p w14:paraId="3711EF47">
      <w:pPr>
        <w:pStyle w:val="6"/>
        <w:rPr>
          <w:rFonts w:ascii="Times New Roman"/>
          <w:sz w:val="18"/>
        </w:rPr>
      </w:pPr>
    </w:p>
    <w:p w14:paraId="2C0DDAD4">
      <w:pPr>
        <w:rPr>
          <w:rFonts w:ascii="Times New Roman"/>
          <w:sz w:val="18"/>
        </w:rPr>
      </w:pPr>
    </w:p>
    <w:p w14:paraId="5BFB799D">
      <w:pPr>
        <w:pStyle w:val="6"/>
        <w:rPr>
          <w:rFonts w:ascii="Times New Roman"/>
          <w:sz w:val="18"/>
        </w:rPr>
      </w:pPr>
    </w:p>
    <w:p w14:paraId="11060A2D">
      <w:pPr>
        <w:rPr>
          <w:rFonts w:ascii="Times New Roman"/>
          <w:sz w:val="18"/>
        </w:rPr>
      </w:pPr>
    </w:p>
    <w:p w14:paraId="6E60971D">
      <w:pPr>
        <w:pStyle w:val="6"/>
        <w:rPr>
          <w:rFonts w:ascii="Times New Roman"/>
          <w:sz w:val="18"/>
        </w:rPr>
      </w:pPr>
    </w:p>
    <w:p w14:paraId="08418592">
      <w:pPr>
        <w:rPr>
          <w:rFonts w:ascii="Times New Roman"/>
          <w:sz w:val="18"/>
        </w:rPr>
      </w:pPr>
    </w:p>
    <w:p w14:paraId="2DD440AF">
      <w:pPr>
        <w:pStyle w:val="6"/>
        <w:rPr>
          <w:rFonts w:ascii="Times New Roman"/>
          <w:sz w:val="18"/>
        </w:rPr>
      </w:pPr>
    </w:p>
    <w:p w14:paraId="11BB82CE">
      <w:pPr>
        <w:rPr>
          <w:rFonts w:ascii="Times New Roman"/>
          <w:sz w:val="18"/>
        </w:rPr>
      </w:pPr>
    </w:p>
    <w:p w14:paraId="6E2B6FD1">
      <w:pPr>
        <w:pStyle w:val="6"/>
        <w:rPr>
          <w:rFonts w:ascii="Times New Roman"/>
          <w:sz w:val="18"/>
        </w:rPr>
      </w:pPr>
    </w:p>
    <w:p w14:paraId="68DC6CB5">
      <w:pPr>
        <w:rPr>
          <w:rFonts w:ascii="Times New Roman"/>
          <w:sz w:val="18"/>
        </w:rPr>
      </w:pPr>
    </w:p>
    <w:p w14:paraId="48CCF487">
      <w:pPr>
        <w:pStyle w:val="6"/>
        <w:rPr>
          <w:rFonts w:ascii="Times New Roman"/>
          <w:sz w:val="18"/>
        </w:rPr>
      </w:pPr>
    </w:p>
    <w:p w14:paraId="1B33D122">
      <w:pPr>
        <w:rPr>
          <w:rFonts w:ascii="Times New Roman"/>
          <w:sz w:val="18"/>
        </w:rPr>
      </w:pPr>
    </w:p>
    <w:p w14:paraId="56255486">
      <w:pPr>
        <w:pStyle w:val="6"/>
        <w:rPr>
          <w:rFonts w:ascii="Times New Roman"/>
          <w:sz w:val="18"/>
        </w:rPr>
      </w:pPr>
    </w:p>
    <w:p w14:paraId="5A6E1248">
      <w:pPr>
        <w:rPr>
          <w:rFonts w:ascii="Times New Roman"/>
          <w:sz w:val="18"/>
        </w:rPr>
      </w:pPr>
    </w:p>
    <w:p w14:paraId="3331F17C">
      <w:pPr>
        <w:pStyle w:val="6"/>
        <w:rPr>
          <w:rFonts w:ascii="Times New Roman"/>
          <w:sz w:val="18"/>
        </w:rPr>
      </w:pPr>
    </w:p>
    <w:p w14:paraId="4F5237AE">
      <w:pPr>
        <w:rPr>
          <w:rFonts w:ascii="Times New Roman"/>
          <w:sz w:val="18"/>
        </w:rPr>
      </w:pPr>
    </w:p>
    <w:p w14:paraId="0C0C045F">
      <w:pPr>
        <w:pStyle w:val="6"/>
        <w:rPr>
          <w:rFonts w:ascii="Times New Roman"/>
          <w:sz w:val="18"/>
        </w:rPr>
      </w:pPr>
    </w:p>
    <w:p w14:paraId="21BD9E76">
      <w:pPr>
        <w:rPr>
          <w:rFonts w:ascii="Times New Roman"/>
          <w:sz w:val="18"/>
        </w:rPr>
      </w:pPr>
    </w:p>
    <w:p w14:paraId="7D4A7883">
      <w:pPr>
        <w:pStyle w:val="6"/>
        <w:rPr>
          <w:rFonts w:ascii="Times New Roman"/>
          <w:sz w:val="18"/>
        </w:rPr>
      </w:pPr>
    </w:p>
    <w:p w14:paraId="5A8417F0">
      <w:pPr>
        <w:rPr>
          <w:rFonts w:ascii="Times New Roman"/>
          <w:sz w:val="18"/>
        </w:rPr>
      </w:pPr>
    </w:p>
    <w:p w14:paraId="234CDDC4">
      <w:pPr>
        <w:pStyle w:val="6"/>
        <w:rPr>
          <w:rFonts w:ascii="Times New Roman"/>
          <w:sz w:val="18"/>
        </w:rPr>
      </w:pPr>
    </w:p>
    <w:p w14:paraId="7B41D050">
      <w:pPr>
        <w:rPr>
          <w:rFonts w:ascii="Times New Roman"/>
          <w:sz w:val="18"/>
        </w:rPr>
      </w:pPr>
    </w:p>
    <w:p w14:paraId="2EC14948">
      <w:pPr>
        <w:pStyle w:val="6"/>
        <w:rPr>
          <w:rFonts w:ascii="Times New Roman"/>
          <w:sz w:val="18"/>
        </w:rPr>
      </w:pPr>
    </w:p>
    <w:p w14:paraId="26E66559">
      <w:pPr>
        <w:rPr>
          <w:rFonts w:ascii="Times New Roman"/>
          <w:sz w:val="18"/>
        </w:rPr>
      </w:pPr>
    </w:p>
    <w:p w14:paraId="203AFF35">
      <w:pPr>
        <w:pStyle w:val="6"/>
        <w:rPr>
          <w:rFonts w:ascii="Times New Roman"/>
          <w:sz w:val="18"/>
        </w:rPr>
      </w:pPr>
    </w:p>
    <w:p w14:paraId="2847FA74">
      <w:pPr>
        <w:rPr>
          <w:rFonts w:ascii="Times New Roman"/>
          <w:sz w:val="18"/>
        </w:rPr>
      </w:pPr>
    </w:p>
    <w:p w14:paraId="0BCE4558">
      <w:pPr>
        <w:pStyle w:val="6"/>
        <w:rPr>
          <w:rFonts w:ascii="Times New Roman"/>
          <w:sz w:val="18"/>
        </w:rPr>
      </w:pPr>
    </w:p>
    <w:p w14:paraId="2378C586">
      <w:pPr>
        <w:rPr>
          <w:rFonts w:ascii="Times New Roman"/>
          <w:sz w:val="18"/>
        </w:rPr>
      </w:pPr>
    </w:p>
    <w:p w14:paraId="04D85D21">
      <w:pPr>
        <w:pStyle w:val="6"/>
        <w:rPr>
          <w:rFonts w:ascii="Times New Roman"/>
          <w:sz w:val="18"/>
        </w:rPr>
      </w:pPr>
    </w:p>
    <w:p w14:paraId="1D7A3C20">
      <w:pPr>
        <w:rPr>
          <w:rFonts w:ascii="Times New Roman"/>
          <w:sz w:val="18"/>
        </w:rPr>
      </w:pPr>
    </w:p>
    <w:p w14:paraId="1C952429">
      <w:pPr>
        <w:pStyle w:val="6"/>
        <w:rPr>
          <w:rFonts w:ascii="Times New Roman"/>
          <w:sz w:val="18"/>
        </w:rPr>
      </w:pPr>
    </w:p>
    <w:p w14:paraId="0AC66DC2">
      <w:pPr>
        <w:rPr>
          <w:rFonts w:ascii="Times New Roman"/>
          <w:sz w:val="18"/>
        </w:rPr>
      </w:pPr>
    </w:p>
    <w:p w14:paraId="31796BF2">
      <w:pPr>
        <w:pStyle w:val="6"/>
        <w:rPr>
          <w:rFonts w:ascii="Times New Roman"/>
          <w:sz w:val="18"/>
        </w:rPr>
      </w:pPr>
    </w:p>
    <w:p w14:paraId="2F68348E">
      <w:pPr>
        <w:rPr>
          <w:rFonts w:ascii="Times New Roman"/>
          <w:sz w:val="18"/>
        </w:rPr>
      </w:pPr>
    </w:p>
    <w:p w14:paraId="793EA001">
      <w:pPr>
        <w:pStyle w:val="6"/>
        <w:rPr>
          <w:rFonts w:ascii="Times New Roman"/>
          <w:sz w:val="18"/>
        </w:rPr>
      </w:pPr>
    </w:p>
    <w:p w14:paraId="6AC0AA91">
      <w:pPr>
        <w:rPr>
          <w:rFonts w:ascii="Times New Roman"/>
          <w:sz w:val="18"/>
        </w:rPr>
      </w:pPr>
    </w:p>
    <w:p w14:paraId="7F765DB9">
      <w:pPr>
        <w:pStyle w:val="6"/>
        <w:rPr>
          <w:rFonts w:ascii="Times New Roman"/>
          <w:sz w:val="18"/>
        </w:rPr>
      </w:pPr>
    </w:p>
    <w:p w14:paraId="5DD8B3B9">
      <w:pPr>
        <w:rPr>
          <w:rFonts w:ascii="Times New Roman"/>
          <w:sz w:val="18"/>
        </w:rPr>
      </w:pPr>
    </w:p>
    <w:p w14:paraId="5769D394">
      <w:pPr>
        <w:pStyle w:val="6"/>
        <w:rPr>
          <w:rFonts w:ascii="Times New Roman"/>
          <w:sz w:val="18"/>
        </w:rPr>
      </w:pPr>
    </w:p>
    <w:p w14:paraId="739E0E67">
      <w:pPr>
        <w:rPr>
          <w:rFonts w:ascii="Times New Roman"/>
          <w:sz w:val="18"/>
        </w:rPr>
      </w:pPr>
    </w:p>
    <w:p w14:paraId="4FA16C80">
      <w:pPr>
        <w:pStyle w:val="6"/>
        <w:rPr>
          <w:rFonts w:ascii="Times New Roman"/>
          <w:sz w:val="18"/>
        </w:rPr>
      </w:pPr>
    </w:p>
    <w:p w14:paraId="79CE5F04">
      <w:pPr>
        <w:rPr>
          <w:rFonts w:ascii="Times New Roman"/>
          <w:sz w:val="18"/>
        </w:rPr>
      </w:pPr>
    </w:p>
    <w:p w14:paraId="7C9D61D0">
      <w:pPr>
        <w:pStyle w:val="6"/>
        <w:rPr>
          <w:rFonts w:ascii="Times New Roman"/>
          <w:sz w:val="18"/>
        </w:rPr>
      </w:pPr>
    </w:p>
    <w:p w14:paraId="30A6B843">
      <w:pPr>
        <w:rPr>
          <w:rFonts w:ascii="Times New Roman"/>
          <w:sz w:val="18"/>
        </w:rPr>
      </w:pPr>
    </w:p>
    <w:p w14:paraId="19559EFC">
      <w:pPr>
        <w:pStyle w:val="6"/>
        <w:rPr>
          <w:rFonts w:ascii="Times New Roman"/>
          <w:sz w:val="18"/>
        </w:rPr>
      </w:pPr>
    </w:p>
    <w:p w14:paraId="6B3D7B75">
      <w:pPr>
        <w:rPr>
          <w:rFonts w:ascii="Times New Roman"/>
          <w:sz w:val="18"/>
        </w:rPr>
      </w:pPr>
    </w:p>
    <w:p w14:paraId="2F909676">
      <w:pPr>
        <w:pStyle w:val="6"/>
        <w:rPr>
          <w:rFonts w:ascii="Times New Roman"/>
          <w:sz w:val="18"/>
        </w:rPr>
      </w:pPr>
    </w:p>
    <w:p w14:paraId="0121DA7F">
      <w:pPr>
        <w:rPr>
          <w:rFonts w:ascii="Times New Roman"/>
          <w:sz w:val="18"/>
        </w:rPr>
      </w:pPr>
    </w:p>
    <w:p w14:paraId="1682D8AE">
      <w:pPr>
        <w:pStyle w:val="6"/>
        <w:rPr>
          <w:rFonts w:ascii="Times New Roman"/>
          <w:sz w:val="18"/>
        </w:rPr>
      </w:pPr>
    </w:p>
    <w:p w14:paraId="0A4512FD">
      <w:pPr>
        <w:rPr>
          <w:rFonts w:ascii="Times New Roman"/>
          <w:sz w:val="18"/>
        </w:rPr>
      </w:pPr>
    </w:p>
    <w:p w14:paraId="6EC7D307">
      <w:pPr>
        <w:pStyle w:val="6"/>
        <w:rPr>
          <w:rFonts w:ascii="Times New Roman"/>
          <w:sz w:val="18"/>
        </w:rPr>
      </w:pPr>
    </w:p>
    <w:p w14:paraId="738467F0"/>
    <w:p w14:paraId="568C23A8">
      <w:pPr>
        <w:pStyle w:val="4"/>
        <w:rPr>
          <w:rFonts w:hint="eastAsia"/>
        </w:rPr>
      </w:pPr>
    </w:p>
    <w:sectPr>
      <w:footerReference r:id="rId3" w:type="default"/>
      <w:footerReference r:id="rId4" w:type="even"/>
      <w:pgSz w:w="11910" w:h="16840"/>
      <w:pgMar w:top="1580" w:right="460" w:bottom="1620" w:left="460" w:header="0" w:footer="1431" w:gutter="0"/>
      <w:pgNumType w:start="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B21C">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AC63">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700F9"/>
    <w:multiLevelType w:val="singleLevel"/>
    <w:tmpl w:val="35E700F9"/>
    <w:lvl w:ilvl="0" w:tentative="0">
      <w:start w:val="1"/>
      <w:numFmt w:val="decimal"/>
      <w:lvlText w:val="%1."/>
      <w:lvlJc w:val="left"/>
      <w:pPr>
        <w:tabs>
          <w:tab w:val="left" w:pos="312"/>
        </w:tabs>
      </w:pPr>
    </w:lvl>
  </w:abstractNum>
  <w:abstractNum w:abstractNumId="1">
    <w:nsid w:val="737A5AE3"/>
    <w:multiLevelType w:val="singleLevel"/>
    <w:tmpl w:val="737A5AE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zBjM2VhNmM4YmE3MTYxMmFlZTExODZmYTkwZWEifQ=="/>
  </w:docVars>
  <w:rsids>
    <w:rsidRoot w:val="001954D7"/>
    <w:rsid w:val="00001138"/>
    <w:rsid w:val="00004EF4"/>
    <w:rsid w:val="000105A8"/>
    <w:rsid w:val="000124AB"/>
    <w:rsid w:val="00026809"/>
    <w:rsid w:val="00040690"/>
    <w:rsid w:val="000573F3"/>
    <w:rsid w:val="000634DE"/>
    <w:rsid w:val="000715CE"/>
    <w:rsid w:val="000821E3"/>
    <w:rsid w:val="00085490"/>
    <w:rsid w:val="00086403"/>
    <w:rsid w:val="00090F33"/>
    <w:rsid w:val="000A3CF2"/>
    <w:rsid w:val="000B062A"/>
    <w:rsid w:val="000B18D6"/>
    <w:rsid w:val="000B4EAE"/>
    <w:rsid w:val="000C030B"/>
    <w:rsid w:val="000C1FE3"/>
    <w:rsid w:val="000C6F32"/>
    <w:rsid w:val="000D4912"/>
    <w:rsid w:val="000D6244"/>
    <w:rsid w:val="000E0685"/>
    <w:rsid w:val="000F7D56"/>
    <w:rsid w:val="001020C0"/>
    <w:rsid w:val="00103D95"/>
    <w:rsid w:val="0010784D"/>
    <w:rsid w:val="00125328"/>
    <w:rsid w:val="001257DC"/>
    <w:rsid w:val="00143CAE"/>
    <w:rsid w:val="00151977"/>
    <w:rsid w:val="00153477"/>
    <w:rsid w:val="00157457"/>
    <w:rsid w:val="001609A6"/>
    <w:rsid w:val="00165A0E"/>
    <w:rsid w:val="001669AF"/>
    <w:rsid w:val="00175F32"/>
    <w:rsid w:val="0017773B"/>
    <w:rsid w:val="00181986"/>
    <w:rsid w:val="00181E05"/>
    <w:rsid w:val="00194A86"/>
    <w:rsid w:val="001954D7"/>
    <w:rsid w:val="001A5478"/>
    <w:rsid w:val="001C0BBD"/>
    <w:rsid w:val="001C74FF"/>
    <w:rsid w:val="001C7A19"/>
    <w:rsid w:val="001E62BD"/>
    <w:rsid w:val="001E76E8"/>
    <w:rsid w:val="001F405B"/>
    <w:rsid w:val="001F58AB"/>
    <w:rsid w:val="00204B4E"/>
    <w:rsid w:val="00212E7D"/>
    <w:rsid w:val="00214851"/>
    <w:rsid w:val="00216D29"/>
    <w:rsid w:val="00216D71"/>
    <w:rsid w:val="00221789"/>
    <w:rsid w:val="00224E98"/>
    <w:rsid w:val="00254C84"/>
    <w:rsid w:val="00256444"/>
    <w:rsid w:val="00261056"/>
    <w:rsid w:val="00263027"/>
    <w:rsid w:val="00272727"/>
    <w:rsid w:val="00284AED"/>
    <w:rsid w:val="00291455"/>
    <w:rsid w:val="002A6A09"/>
    <w:rsid w:val="002B4A8C"/>
    <w:rsid w:val="002C3289"/>
    <w:rsid w:val="002D42A5"/>
    <w:rsid w:val="002E2DA1"/>
    <w:rsid w:val="002F0DE4"/>
    <w:rsid w:val="00312D03"/>
    <w:rsid w:val="003231B6"/>
    <w:rsid w:val="003259C2"/>
    <w:rsid w:val="00327C3B"/>
    <w:rsid w:val="003364B8"/>
    <w:rsid w:val="003413EF"/>
    <w:rsid w:val="00341C68"/>
    <w:rsid w:val="00347532"/>
    <w:rsid w:val="00361D14"/>
    <w:rsid w:val="00376E08"/>
    <w:rsid w:val="00383371"/>
    <w:rsid w:val="003877FD"/>
    <w:rsid w:val="003B56F3"/>
    <w:rsid w:val="003C7F95"/>
    <w:rsid w:val="003D5774"/>
    <w:rsid w:val="003D78A5"/>
    <w:rsid w:val="003E1617"/>
    <w:rsid w:val="003F0625"/>
    <w:rsid w:val="004001BA"/>
    <w:rsid w:val="00400C09"/>
    <w:rsid w:val="00406D76"/>
    <w:rsid w:val="004152A2"/>
    <w:rsid w:val="004201BB"/>
    <w:rsid w:val="00420712"/>
    <w:rsid w:val="0043340B"/>
    <w:rsid w:val="004368CD"/>
    <w:rsid w:val="0044071E"/>
    <w:rsid w:val="00457E5B"/>
    <w:rsid w:val="004624C7"/>
    <w:rsid w:val="00471648"/>
    <w:rsid w:val="00472459"/>
    <w:rsid w:val="004735AB"/>
    <w:rsid w:val="00481D55"/>
    <w:rsid w:val="004840AE"/>
    <w:rsid w:val="00495171"/>
    <w:rsid w:val="00497D2B"/>
    <w:rsid w:val="004A1947"/>
    <w:rsid w:val="004B251F"/>
    <w:rsid w:val="004C1964"/>
    <w:rsid w:val="004C538A"/>
    <w:rsid w:val="004D51C7"/>
    <w:rsid w:val="004E4EA4"/>
    <w:rsid w:val="004F1040"/>
    <w:rsid w:val="00501166"/>
    <w:rsid w:val="00504C85"/>
    <w:rsid w:val="005079A4"/>
    <w:rsid w:val="005112E7"/>
    <w:rsid w:val="00512888"/>
    <w:rsid w:val="0051706A"/>
    <w:rsid w:val="005307E3"/>
    <w:rsid w:val="00541AE1"/>
    <w:rsid w:val="00551DB4"/>
    <w:rsid w:val="00563E34"/>
    <w:rsid w:val="00576C8A"/>
    <w:rsid w:val="005852CF"/>
    <w:rsid w:val="00593FF4"/>
    <w:rsid w:val="005A106F"/>
    <w:rsid w:val="005A2114"/>
    <w:rsid w:val="005A3E25"/>
    <w:rsid w:val="005B0B1A"/>
    <w:rsid w:val="005B23B9"/>
    <w:rsid w:val="005B2ED8"/>
    <w:rsid w:val="005B3DBA"/>
    <w:rsid w:val="005B51AA"/>
    <w:rsid w:val="005C3D59"/>
    <w:rsid w:val="005C6087"/>
    <w:rsid w:val="005D028E"/>
    <w:rsid w:val="005D7E2F"/>
    <w:rsid w:val="005E5C3B"/>
    <w:rsid w:val="005F23E7"/>
    <w:rsid w:val="00607957"/>
    <w:rsid w:val="006104B0"/>
    <w:rsid w:val="006115C1"/>
    <w:rsid w:val="00615AD7"/>
    <w:rsid w:val="00616BD5"/>
    <w:rsid w:val="006233FA"/>
    <w:rsid w:val="006242D7"/>
    <w:rsid w:val="00626606"/>
    <w:rsid w:val="00640F86"/>
    <w:rsid w:val="0064110C"/>
    <w:rsid w:val="00665312"/>
    <w:rsid w:val="00666168"/>
    <w:rsid w:val="0068372C"/>
    <w:rsid w:val="006851BC"/>
    <w:rsid w:val="00692D57"/>
    <w:rsid w:val="00693D2D"/>
    <w:rsid w:val="006A12ED"/>
    <w:rsid w:val="006B6451"/>
    <w:rsid w:val="006C0E1E"/>
    <w:rsid w:val="006C4A71"/>
    <w:rsid w:val="006D0201"/>
    <w:rsid w:val="006D5786"/>
    <w:rsid w:val="006E10B3"/>
    <w:rsid w:val="006E518A"/>
    <w:rsid w:val="006E6524"/>
    <w:rsid w:val="006F0264"/>
    <w:rsid w:val="006F0D14"/>
    <w:rsid w:val="007032DD"/>
    <w:rsid w:val="007072A6"/>
    <w:rsid w:val="0072258D"/>
    <w:rsid w:val="00725718"/>
    <w:rsid w:val="00726C70"/>
    <w:rsid w:val="0073002B"/>
    <w:rsid w:val="007347DD"/>
    <w:rsid w:val="00750264"/>
    <w:rsid w:val="007536F8"/>
    <w:rsid w:val="00753EDF"/>
    <w:rsid w:val="00754850"/>
    <w:rsid w:val="00761130"/>
    <w:rsid w:val="00770483"/>
    <w:rsid w:val="0077417F"/>
    <w:rsid w:val="0078252A"/>
    <w:rsid w:val="00785494"/>
    <w:rsid w:val="007943FA"/>
    <w:rsid w:val="007949A4"/>
    <w:rsid w:val="007958B6"/>
    <w:rsid w:val="00796938"/>
    <w:rsid w:val="007A2D13"/>
    <w:rsid w:val="007A5D69"/>
    <w:rsid w:val="007B58C4"/>
    <w:rsid w:val="007C49A7"/>
    <w:rsid w:val="007D17EF"/>
    <w:rsid w:val="007F1039"/>
    <w:rsid w:val="00803C55"/>
    <w:rsid w:val="00810DAC"/>
    <w:rsid w:val="008156EC"/>
    <w:rsid w:val="0081748A"/>
    <w:rsid w:val="008239AD"/>
    <w:rsid w:val="00842A35"/>
    <w:rsid w:val="008469ED"/>
    <w:rsid w:val="0086439F"/>
    <w:rsid w:val="008724D3"/>
    <w:rsid w:val="008817A5"/>
    <w:rsid w:val="00882D95"/>
    <w:rsid w:val="00895279"/>
    <w:rsid w:val="008A387F"/>
    <w:rsid w:val="008B19D0"/>
    <w:rsid w:val="008B2271"/>
    <w:rsid w:val="008B29A8"/>
    <w:rsid w:val="008B29BD"/>
    <w:rsid w:val="008B3D83"/>
    <w:rsid w:val="008C1222"/>
    <w:rsid w:val="008C32CB"/>
    <w:rsid w:val="008C4216"/>
    <w:rsid w:val="008C4736"/>
    <w:rsid w:val="008D238C"/>
    <w:rsid w:val="008E19DB"/>
    <w:rsid w:val="008E1EEF"/>
    <w:rsid w:val="008F6E90"/>
    <w:rsid w:val="009073EF"/>
    <w:rsid w:val="0093279C"/>
    <w:rsid w:val="00941014"/>
    <w:rsid w:val="0094496F"/>
    <w:rsid w:val="00947F17"/>
    <w:rsid w:val="009509D1"/>
    <w:rsid w:val="00962B5E"/>
    <w:rsid w:val="00972FC5"/>
    <w:rsid w:val="00974173"/>
    <w:rsid w:val="00981AF2"/>
    <w:rsid w:val="009A30D0"/>
    <w:rsid w:val="009B2E21"/>
    <w:rsid w:val="009B4179"/>
    <w:rsid w:val="009B6FC7"/>
    <w:rsid w:val="009D0BAF"/>
    <w:rsid w:val="009D3FFD"/>
    <w:rsid w:val="009F0588"/>
    <w:rsid w:val="009F4229"/>
    <w:rsid w:val="009F7086"/>
    <w:rsid w:val="009F747B"/>
    <w:rsid w:val="00A14F26"/>
    <w:rsid w:val="00A22ED2"/>
    <w:rsid w:val="00A242D1"/>
    <w:rsid w:val="00A24962"/>
    <w:rsid w:val="00A2693A"/>
    <w:rsid w:val="00A310DB"/>
    <w:rsid w:val="00A40093"/>
    <w:rsid w:val="00A46342"/>
    <w:rsid w:val="00A534D4"/>
    <w:rsid w:val="00A60243"/>
    <w:rsid w:val="00A702CD"/>
    <w:rsid w:val="00A755FB"/>
    <w:rsid w:val="00A82D19"/>
    <w:rsid w:val="00A84410"/>
    <w:rsid w:val="00A92924"/>
    <w:rsid w:val="00A93970"/>
    <w:rsid w:val="00AB3134"/>
    <w:rsid w:val="00AB72FB"/>
    <w:rsid w:val="00AC2D1E"/>
    <w:rsid w:val="00AD6D93"/>
    <w:rsid w:val="00AD7759"/>
    <w:rsid w:val="00AE326C"/>
    <w:rsid w:val="00AE4F8C"/>
    <w:rsid w:val="00AE7E63"/>
    <w:rsid w:val="00AF36E9"/>
    <w:rsid w:val="00AF5248"/>
    <w:rsid w:val="00B06349"/>
    <w:rsid w:val="00B15655"/>
    <w:rsid w:val="00B23EAF"/>
    <w:rsid w:val="00B34921"/>
    <w:rsid w:val="00B45B30"/>
    <w:rsid w:val="00B528A0"/>
    <w:rsid w:val="00B5573E"/>
    <w:rsid w:val="00B5630E"/>
    <w:rsid w:val="00B649B0"/>
    <w:rsid w:val="00B804E8"/>
    <w:rsid w:val="00B81D08"/>
    <w:rsid w:val="00B8705A"/>
    <w:rsid w:val="00B90D46"/>
    <w:rsid w:val="00B921CD"/>
    <w:rsid w:val="00BA7AD2"/>
    <w:rsid w:val="00BB04F3"/>
    <w:rsid w:val="00BB5044"/>
    <w:rsid w:val="00BC10B8"/>
    <w:rsid w:val="00BC65FB"/>
    <w:rsid w:val="00BD73BB"/>
    <w:rsid w:val="00BE0574"/>
    <w:rsid w:val="00BE1FEA"/>
    <w:rsid w:val="00BE35F2"/>
    <w:rsid w:val="00BE38CE"/>
    <w:rsid w:val="00BE3CFF"/>
    <w:rsid w:val="00BF0B00"/>
    <w:rsid w:val="00BF1E4E"/>
    <w:rsid w:val="00BF2DC5"/>
    <w:rsid w:val="00C00518"/>
    <w:rsid w:val="00C02EED"/>
    <w:rsid w:val="00C062A4"/>
    <w:rsid w:val="00C10DD6"/>
    <w:rsid w:val="00C216FD"/>
    <w:rsid w:val="00C267C2"/>
    <w:rsid w:val="00C26CBB"/>
    <w:rsid w:val="00C33D12"/>
    <w:rsid w:val="00C419B9"/>
    <w:rsid w:val="00C45831"/>
    <w:rsid w:val="00C5163B"/>
    <w:rsid w:val="00C56694"/>
    <w:rsid w:val="00C627E3"/>
    <w:rsid w:val="00C6773E"/>
    <w:rsid w:val="00C87688"/>
    <w:rsid w:val="00C96A26"/>
    <w:rsid w:val="00CA3C01"/>
    <w:rsid w:val="00CB5082"/>
    <w:rsid w:val="00CB70FB"/>
    <w:rsid w:val="00CC4668"/>
    <w:rsid w:val="00CC70B2"/>
    <w:rsid w:val="00CD1A1D"/>
    <w:rsid w:val="00CD4770"/>
    <w:rsid w:val="00CE40E3"/>
    <w:rsid w:val="00CE5EBA"/>
    <w:rsid w:val="00D01072"/>
    <w:rsid w:val="00D03685"/>
    <w:rsid w:val="00D14E53"/>
    <w:rsid w:val="00D23233"/>
    <w:rsid w:val="00D24505"/>
    <w:rsid w:val="00D2495D"/>
    <w:rsid w:val="00D36218"/>
    <w:rsid w:val="00D47176"/>
    <w:rsid w:val="00D47891"/>
    <w:rsid w:val="00D862D0"/>
    <w:rsid w:val="00DA1746"/>
    <w:rsid w:val="00DA4666"/>
    <w:rsid w:val="00DA4B25"/>
    <w:rsid w:val="00DC1E56"/>
    <w:rsid w:val="00DC3DB4"/>
    <w:rsid w:val="00DD1890"/>
    <w:rsid w:val="00DE0712"/>
    <w:rsid w:val="00E0262C"/>
    <w:rsid w:val="00E15B7E"/>
    <w:rsid w:val="00E441CB"/>
    <w:rsid w:val="00E539B2"/>
    <w:rsid w:val="00E5664D"/>
    <w:rsid w:val="00E71002"/>
    <w:rsid w:val="00E756FE"/>
    <w:rsid w:val="00E76E89"/>
    <w:rsid w:val="00E91BA4"/>
    <w:rsid w:val="00EA0104"/>
    <w:rsid w:val="00EC5900"/>
    <w:rsid w:val="00EC79AF"/>
    <w:rsid w:val="00EC7CCE"/>
    <w:rsid w:val="00ED7BAA"/>
    <w:rsid w:val="00EE559E"/>
    <w:rsid w:val="00EE6413"/>
    <w:rsid w:val="00EE7075"/>
    <w:rsid w:val="00EF0110"/>
    <w:rsid w:val="00F021E9"/>
    <w:rsid w:val="00F04D20"/>
    <w:rsid w:val="00F14A5D"/>
    <w:rsid w:val="00F171EE"/>
    <w:rsid w:val="00F177FC"/>
    <w:rsid w:val="00F2400D"/>
    <w:rsid w:val="00F50FE5"/>
    <w:rsid w:val="00F66591"/>
    <w:rsid w:val="00F73AF3"/>
    <w:rsid w:val="00F85782"/>
    <w:rsid w:val="00F909E5"/>
    <w:rsid w:val="00F95AD9"/>
    <w:rsid w:val="00FB37B2"/>
    <w:rsid w:val="00FB7FC8"/>
    <w:rsid w:val="00FD629E"/>
    <w:rsid w:val="00FE1486"/>
    <w:rsid w:val="00FE4428"/>
    <w:rsid w:val="00FE4BA5"/>
    <w:rsid w:val="00FF4121"/>
    <w:rsid w:val="02021D56"/>
    <w:rsid w:val="0356048A"/>
    <w:rsid w:val="03A11802"/>
    <w:rsid w:val="04035DA0"/>
    <w:rsid w:val="048A5003"/>
    <w:rsid w:val="05965135"/>
    <w:rsid w:val="066D5367"/>
    <w:rsid w:val="07362663"/>
    <w:rsid w:val="07B2156C"/>
    <w:rsid w:val="092A0515"/>
    <w:rsid w:val="0A8607D1"/>
    <w:rsid w:val="0AE443EE"/>
    <w:rsid w:val="0B5730A8"/>
    <w:rsid w:val="0C6E59DB"/>
    <w:rsid w:val="0CEA12C0"/>
    <w:rsid w:val="0D914F51"/>
    <w:rsid w:val="0E276F2D"/>
    <w:rsid w:val="0F200EDF"/>
    <w:rsid w:val="0FA01802"/>
    <w:rsid w:val="115049F7"/>
    <w:rsid w:val="11E951DE"/>
    <w:rsid w:val="12B90746"/>
    <w:rsid w:val="12BD38C9"/>
    <w:rsid w:val="1382238D"/>
    <w:rsid w:val="148E15C6"/>
    <w:rsid w:val="14EF0366"/>
    <w:rsid w:val="17EB22CD"/>
    <w:rsid w:val="188143C2"/>
    <w:rsid w:val="1A930F26"/>
    <w:rsid w:val="1C492B76"/>
    <w:rsid w:val="1DCA3F6C"/>
    <w:rsid w:val="20DE1B72"/>
    <w:rsid w:val="21135FD2"/>
    <w:rsid w:val="233B4EBD"/>
    <w:rsid w:val="24A713B1"/>
    <w:rsid w:val="253908EB"/>
    <w:rsid w:val="25764F02"/>
    <w:rsid w:val="25CC7E8F"/>
    <w:rsid w:val="26143B06"/>
    <w:rsid w:val="26D6070D"/>
    <w:rsid w:val="274057F2"/>
    <w:rsid w:val="27E84D06"/>
    <w:rsid w:val="2C43682A"/>
    <w:rsid w:val="2D2F6832"/>
    <w:rsid w:val="2D73279F"/>
    <w:rsid w:val="2E6F0E43"/>
    <w:rsid w:val="2ED25BDE"/>
    <w:rsid w:val="30A5355B"/>
    <w:rsid w:val="30EB624E"/>
    <w:rsid w:val="32604EB6"/>
    <w:rsid w:val="32771258"/>
    <w:rsid w:val="32CA6AE3"/>
    <w:rsid w:val="330752C3"/>
    <w:rsid w:val="34A53A6B"/>
    <w:rsid w:val="34F60B3D"/>
    <w:rsid w:val="360D500D"/>
    <w:rsid w:val="372C3815"/>
    <w:rsid w:val="38D30A7B"/>
    <w:rsid w:val="3A316F85"/>
    <w:rsid w:val="3C3B2082"/>
    <w:rsid w:val="3D94510F"/>
    <w:rsid w:val="3FCB5038"/>
    <w:rsid w:val="40C34B96"/>
    <w:rsid w:val="42256E25"/>
    <w:rsid w:val="4630334F"/>
    <w:rsid w:val="47585719"/>
    <w:rsid w:val="485C7590"/>
    <w:rsid w:val="48BD6130"/>
    <w:rsid w:val="491834FB"/>
    <w:rsid w:val="4BBA244A"/>
    <w:rsid w:val="4BFF382E"/>
    <w:rsid w:val="4D280422"/>
    <w:rsid w:val="4E497600"/>
    <w:rsid w:val="4F1F055D"/>
    <w:rsid w:val="4FC77A71"/>
    <w:rsid w:val="50484B47"/>
    <w:rsid w:val="50F85BE5"/>
    <w:rsid w:val="51D12442"/>
    <w:rsid w:val="52403AFF"/>
    <w:rsid w:val="526151B7"/>
    <w:rsid w:val="53155F5F"/>
    <w:rsid w:val="559A58FE"/>
    <w:rsid w:val="5715646F"/>
    <w:rsid w:val="588C14D4"/>
    <w:rsid w:val="592136BF"/>
    <w:rsid w:val="592D325B"/>
    <w:rsid w:val="594B060D"/>
    <w:rsid w:val="5ADF2C22"/>
    <w:rsid w:val="5C8B3F62"/>
    <w:rsid w:val="5D907F8D"/>
    <w:rsid w:val="5F59087D"/>
    <w:rsid w:val="60D12A29"/>
    <w:rsid w:val="61AD584E"/>
    <w:rsid w:val="61BE61A1"/>
    <w:rsid w:val="63531402"/>
    <w:rsid w:val="64A864B1"/>
    <w:rsid w:val="64F877DD"/>
    <w:rsid w:val="650E6EC4"/>
    <w:rsid w:val="6610477E"/>
    <w:rsid w:val="67852E78"/>
    <w:rsid w:val="69473047"/>
    <w:rsid w:val="6B090729"/>
    <w:rsid w:val="6B6F2521"/>
    <w:rsid w:val="6DEC3CE4"/>
    <w:rsid w:val="6EF967A0"/>
    <w:rsid w:val="6FA952BF"/>
    <w:rsid w:val="716B29A1"/>
    <w:rsid w:val="738F6E24"/>
    <w:rsid w:val="73DC6F23"/>
    <w:rsid w:val="73F401E6"/>
    <w:rsid w:val="743608B6"/>
    <w:rsid w:val="749010BA"/>
    <w:rsid w:val="74D361B6"/>
    <w:rsid w:val="77A727DC"/>
    <w:rsid w:val="792E5ADB"/>
    <w:rsid w:val="7A36630D"/>
    <w:rsid w:val="7A926A27"/>
    <w:rsid w:val="7B974C50"/>
    <w:rsid w:val="7C027B82"/>
    <w:rsid w:val="7D14510A"/>
    <w:rsid w:val="7E285309"/>
    <w:rsid w:val="7ECF6D79"/>
    <w:rsid w:val="7ED03198"/>
    <w:rsid w:val="7F67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jc w:val="center"/>
      <w:outlineLvl w:val="0"/>
    </w:pPr>
    <w:rPr>
      <w:rFonts w:ascii="宋体" w:hAnsi="宋体" w:eastAsia="宋体" w:cs="宋体"/>
      <w:sz w:val="44"/>
      <w:szCs w:val="44"/>
    </w:rPr>
  </w:style>
  <w:style w:type="paragraph" w:styleId="4">
    <w:name w:val="heading 2"/>
    <w:basedOn w:val="1"/>
    <w:next w:val="1"/>
    <w:qFormat/>
    <w:uiPriority w:val="0"/>
    <w:pPr>
      <w:keepNext/>
      <w:keepLines/>
      <w:autoSpaceDE/>
      <w:autoSpaceDN/>
      <w:spacing w:before="260" w:after="260" w:line="416" w:lineRule="auto"/>
      <w:jc w:val="both"/>
      <w:outlineLvl w:val="1"/>
    </w:pPr>
    <w:rPr>
      <w:rFonts w:ascii="Arial" w:hAnsi="Arial" w:eastAsia="黑体"/>
      <w:b/>
      <w:bCs/>
      <w:kern w:val="2"/>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annotation text"/>
    <w:basedOn w:val="1"/>
    <w:link w:val="24"/>
    <w:qFormat/>
    <w:uiPriority w:val="99"/>
    <w:pPr>
      <w:widowControl/>
    </w:pPr>
    <w:rPr>
      <w:szCs w:val="20"/>
    </w:rPr>
  </w:style>
  <w:style w:type="paragraph" w:styleId="6">
    <w:name w:val="Body Text"/>
    <w:basedOn w:val="1"/>
    <w:next w:val="7"/>
    <w:qFormat/>
    <w:uiPriority w:val="1"/>
    <w:rPr>
      <w:sz w:val="32"/>
      <w:szCs w:val="32"/>
    </w:rPr>
  </w:style>
  <w:style w:type="paragraph" w:styleId="7">
    <w:name w:val="Body Text First Indent"/>
    <w:basedOn w:val="6"/>
    <w:qFormat/>
    <w:uiPriority w:val="0"/>
    <w:pPr>
      <w:widowControl w:val="0"/>
      <w:tabs>
        <w:tab w:val="left" w:pos="562"/>
        <w:tab w:val="left" w:pos="3372"/>
        <w:tab w:val="left" w:pos="3653"/>
      </w:tabs>
      <w:spacing w:after="0" w:line="360" w:lineRule="auto"/>
      <w:ind w:firstLine="425"/>
      <w:jc w:val="both"/>
    </w:pPr>
    <w:rPr>
      <w:kern w:val="2"/>
      <w:sz w:val="24"/>
    </w:rPr>
  </w:style>
  <w:style w:type="paragraph" w:styleId="8">
    <w:name w:val="Plain Text"/>
    <w:basedOn w:val="1"/>
    <w:qFormat/>
    <w:uiPriority w:val="0"/>
    <w:rPr>
      <w:rFonts w:ascii="宋体" w:hAnsi="Courier New" w:cs="Courier New"/>
      <w:szCs w:val="21"/>
    </w:rPr>
  </w:style>
  <w:style w:type="paragraph" w:styleId="9">
    <w:name w:val="Balloon Text"/>
    <w:basedOn w:val="1"/>
    <w:link w:val="26"/>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qFormat/>
    <w:uiPriority w:val="0"/>
    <w:pPr>
      <w:snapToGrid w:val="0"/>
      <w:spacing w:line="360" w:lineRule="auto"/>
    </w:pPr>
    <w:rPr>
      <w:sz w:val="18"/>
      <w:szCs w:val="18"/>
    </w:rPr>
  </w:style>
  <w:style w:type="paragraph" w:styleId="13">
    <w:name w:val="Title"/>
    <w:basedOn w:val="1"/>
    <w:next w:val="1"/>
    <w:qFormat/>
    <w:uiPriority w:val="10"/>
    <w:pPr>
      <w:spacing w:before="240" w:after="60"/>
      <w:jc w:val="center"/>
      <w:outlineLvl w:val="0"/>
    </w:pPr>
    <w:rPr>
      <w:rFonts w:ascii="Cambria" w:hAnsi="Cambria"/>
      <w:b/>
      <w:bCs/>
      <w:sz w:val="32"/>
      <w:szCs w:val="32"/>
    </w:rPr>
  </w:style>
  <w:style w:type="paragraph" w:styleId="14">
    <w:name w:val="annotation subject"/>
    <w:basedOn w:val="5"/>
    <w:next w:val="5"/>
    <w:link w:val="25"/>
    <w:semiHidden/>
    <w:unhideWhenUsed/>
    <w:qFormat/>
    <w:uiPriority w:val="99"/>
    <w:pPr>
      <w:widowControl w:val="0"/>
    </w:pPr>
    <w:rPr>
      <w:b/>
      <w:bCs/>
      <w:szCs w:val="22"/>
    </w:rPr>
  </w:style>
  <w:style w:type="character" w:styleId="17">
    <w:name w:val="annotation reference"/>
    <w:qFormat/>
    <w:uiPriority w:val="0"/>
    <w:rPr>
      <w:sz w:val="21"/>
      <w:szCs w:val="21"/>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2033" w:hanging="322"/>
    </w:pPr>
  </w:style>
  <w:style w:type="paragraph" w:customStyle="1" w:styleId="20">
    <w:name w:val="Table Paragraph"/>
    <w:basedOn w:val="1"/>
    <w:qFormat/>
    <w:uiPriority w:val="1"/>
    <w:rPr>
      <w:rFonts w:ascii="宋体" w:hAnsi="宋体" w:eastAsia="宋体" w:cs="宋体"/>
    </w:rPr>
  </w:style>
  <w:style w:type="character" w:customStyle="1" w:styleId="21">
    <w:name w:val="页眉 Char"/>
    <w:basedOn w:val="16"/>
    <w:link w:val="11"/>
    <w:qFormat/>
    <w:uiPriority w:val="99"/>
    <w:rPr>
      <w:rFonts w:ascii="仿宋" w:hAnsi="仿宋" w:eastAsia="仿宋" w:cs="仿宋"/>
      <w:sz w:val="18"/>
      <w:szCs w:val="18"/>
      <w:lang w:val="zh-CN" w:eastAsia="zh-CN" w:bidi="zh-CN"/>
    </w:rPr>
  </w:style>
  <w:style w:type="character" w:customStyle="1" w:styleId="22">
    <w:name w:val="页脚 Char"/>
    <w:basedOn w:val="16"/>
    <w:link w:val="10"/>
    <w:qFormat/>
    <w:uiPriority w:val="99"/>
    <w:rPr>
      <w:rFonts w:ascii="仿宋" w:hAnsi="仿宋" w:eastAsia="仿宋" w:cs="仿宋"/>
      <w:sz w:val="18"/>
      <w:szCs w:val="18"/>
      <w:lang w:val="zh-CN" w:eastAsia="zh-CN" w:bidi="zh-CN"/>
    </w:rPr>
  </w:style>
  <w:style w:type="paragraph" w:customStyle="1" w:styleId="23">
    <w:name w:val="表格文字"/>
    <w:basedOn w:val="1"/>
    <w:qFormat/>
    <w:uiPriority w:val="0"/>
    <w:pPr>
      <w:spacing w:before="25" w:after="25"/>
    </w:pPr>
    <w:rPr>
      <w:bCs/>
      <w:spacing w:val="10"/>
      <w:sz w:val="24"/>
      <w:szCs w:val="20"/>
    </w:rPr>
  </w:style>
  <w:style w:type="character" w:customStyle="1" w:styleId="24">
    <w:name w:val="批注文字 Char"/>
    <w:basedOn w:val="16"/>
    <w:link w:val="5"/>
    <w:qFormat/>
    <w:uiPriority w:val="99"/>
    <w:rPr>
      <w:rFonts w:ascii="仿宋" w:hAnsi="仿宋" w:eastAsia="仿宋" w:cs="仿宋"/>
      <w:sz w:val="22"/>
      <w:lang w:val="zh-CN" w:bidi="zh-CN"/>
    </w:rPr>
  </w:style>
  <w:style w:type="character" w:customStyle="1" w:styleId="25">
    <w:name w:val="批注主题 Char"/>
    <w:basedOn w:val="24"/>
    <w:link w:val="14"/>
    <w:semiHidden/>
    <w:qFormat/>
    <w:uiPriority w:val="99"/>
    <w:rPr>
      <w:rFonts w:ascii="仿宋" w:hAnsi="仿宋" w:eastAsia="仿宋" w:cs="仿宋"/>
      <w:b/>
      <w:bCs/>
      <w:sz w:val="22"/>
      <w:szCs w:val="22"/>
      <w:lang w:val="zh-CN" w:bidi="zh-CN"/>
    </w:rPr>
  </w:style>
  <w:style w:type="character" w:customStyle="1" w:styleId="26">
    <w:name w:val="批注框文本 Char"/>
    <w:basedOn w:val="16"/>
    <w:link w:val="9"/>
    <w:semiHidden/>
    <w:qFormat/>
    <w:uiPriority w:val="99"/>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16</Pages>
  <Words>5718</Words>
  <Characters>5933</Characters>
  <Lines>53</Lines>
  <Paragraphs>15</Paragraphs>
  <TotalTime>17</TotalTime>
  <ScaleCrop>false</ScaleCrop>
  <LinksUpToDate>false</LinksUpToDate>
  <CharactersWithSpaces>5976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2024-04-29T15:16:00Z</dcterms:created>
  <dc:creator>fy</dc:creator>
  <cp:lastModifiedBy>小陀螺</cp:lastModifiedBy>
  <cp:lastPrinted>2024-11-20T03:46:00Z</cp:lastPrinted>
  <dcterms:modified xsi:type="dcterms:W3CDTF">2026-03-11T03:47:26Z</dcterms:modified>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Aspose Ltd.</vt:lpwstr>
  </property>
  <property fmtid="{D5CDD505-2E9C-101B-9397-08002B2CF9AE}" pid="4" name="LastSaved">
    <vt:filetime>2024-04-29T00:00:00Z</vt:filetime>
  </property>
  <property fmtid="{D5CDD505-2E9C-101B-9397-08002B2CF9AE}" pid="5" name="KSOProductBuildVer">
    <vt:lpwstr>2052-12.1.0.25225</vt:lpwstr>
  </property>
  <property fmtid="{D5CDD505-2E9C-101B-9397-08002B2CF9AE}" pid="6" name="ICV">
    <vt:lpwstr>426C11F3ED1C4E6398294F228DAF5AB7_13</vt:lpwstr>
  </property>
  <property fmtid="{D5CDD505-2E9C-101B-9397-08002B2CF9AE}" pid="7" name="KSOTemplateDocerSaveRecord">
    <vt:lpwstr>eyJoZGlkIjoiZjgwZDkyMDVlMjNhZjBhNGFhMWQxNTVjODk1MWFiNjkiLCJ1c2VySWQiOiI2ODU0NDE2NDAifQ==</vt:lpwstr>
  </property>
</Properties>
</file>