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ascii="宋体"/>
          <w:b/>
          <w:bCs/>
          <w:szCs w:val="21"/>
        </w:rPr>
      </w:pPr>
      <w:r>
        <w:rPr>
          <w:rFonts w:hint="eastAsia" w:ascii="宋体"/>
          <w:b/>
          <w:bCs/>
          <w:szCs w:val="21"/>
        </w:rPr>
        <w:t>中小企业声明函</w:t>
      </w:r>
    </w:p>
    <w:p>
      <w:pPr>
        <w:widowControl w:val="0"/>
        <w:spacing w:line="360" w:lineRule="auto"/>
        <w:jc w:val="both"/>
        <w:rPr>
          <w:rFonts w:ascii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cs="宋体"/>
          <w:i w:val="0"/>
          <w:iCs w:val="0"/>
          <w:szCs w:val="21"/>
          <w:u w:val="single"/>
          <w:lang w:eastAsia="zh-CN"/>
        </w:rPr>
        <w:t>珠海市妇幼保健院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>（项目名称）</w:t>
      </w:r>
      <w:r>
        <w:rPr>
          <w:rFonts w:hint="eastAsia" w:ascii="宋体" w:hAnsi="宋体" w:cs="宋体"/>
          <w:szCs w:val="21"/>
        </w:rPr>
        <w:t>采购活动，服务全部由符合政策要求的中小企业承接。相关企业的具体情况如下：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u w:val="single"/>
        </w:rPr>
        <w:t>（标的名称）</w:t>
      </w:r>
      <w:r>
        <w:rPr>
          <w:rFonts w:hint="eastAsia" w:ascii="宋体" w:hAnsi="宋体" w:cs="宋体"/>
          <w:szCs w:val="21"/>
        </w:rPr>
        <w:t>，属于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Cs w:val="21"/>
          <w:u w:val="single"/>
        </w:rPr>
        <w:t xml:space="preserve">其他未列明行业 </w:t>
      </w:r>
      <w:r>
        <w:rPr>
          <w:rFonts w:hint="eastAsia" w:ascii="宋体" w:hAnsi="宋体" w:cs="宋体"/>
          <w:szCs w:val="21"/>
        </w:rPr>
        <w:t>；承接企业为</w:t>
      </w:r>
      <w:r>
        <w:rPr>
          <w:rFonts w:hint="eastAsia" w:ascii="宋体" w:hAnsi="宋体" w:cs="宋体"/>
          <w:szCs w:val="21"/>
          <w:u w:val="single"/>
        </w:rPr>
        <w:t>（企业名称）</w:t>
      </w:r>
      <w:r>
        <w:rPr>
          <w:rFonts w:hint="eastAsia" w:ascii="宋体" w:hAnsi="宋体" w:cs="宋体"/>
          <w:szCs w:val="21"/>
        </w:rPr>
        <w:t>，从业人员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人，营业收入为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ab/>
      </w:r>
      <w:r>
        <w:rPr>
          <w:rFonts w:hint="eastAsia" w:ascii="宋体" w:hAnsi="宋体" w:cs="宋体"/>
          <w:szCs w:val="21"/>
        </w:rPr>
        <w:t>万元，资产总额为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万元，属于</w:t>
      </w:r>
      <w:r>
        <w:rPr>
          <w:rFonts w:hint="eastAsia" w:ascii="宋体" w:hAnsi="宋体" w:cs="宋体"/>
          <w:szCs w:val="21"/>
          <w:u w:val="single"/>
        </w:rPr>
        <w:t>（中型企业、小型企业、微型企业）</w:t>
      </w:r>
      <w:r>
        <w:rPr>
          <w:rFonts w:hint="eastAsia" w:ascii="宋体" w:hAnsi="宋体" w:cs="宋体"/>
          <w:szCs w:val="21"/>
        </w:rPr>
        <w:t>；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以上企业，不属于大企业的分支机构，不存在控股股东为大企业的情形，也不存在与大企业的负责人为同一人的情形。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本企业对上述声明内容的真实性负责。如有虚假，将依法承担相应责任。</w:t>
      </w:r>
    </w:p>
    <w:p>
      <w:pPr>
        <w:widowControl w:val="0"/>
        <w:jc w:val="both"/>
        <w:rPr>
          <w:rFonts w:ascii="宋体" w:hAnsi="宋体" w:cs="宋体"/>
          <w:szCs w:val="21"/>
        </w:rPr>
      </w:pPr>
    </w:p>
    <w:p>
      <w:pPr>
        <w:widowControl w:val="0"/>
        <w:rPr>
          <w:rFonts w:ascii="宋体"/>
          <w:szCs w:val="21"/>
        </w:rPr>
      </w:pPr>
      <w:r>
        <w:rPr>
          <w:rFonts w:hint="eastAsia" w:ascii="宋体"/>
          <w:szCs w:val="21"/>
        </w:rPr>
        <w:t>响应供应商法定代表人/负责人（或法定代表人/负责人授权代表）签字或签章：</w:t>
      </w:r>
    </w:p>
    <w:p>
      <w:pPr>
        <w:widowControl w:val="0"/>
        <w:rPr>
          <w:rFonts w:ascii="宋体"/>
          <w:szCs w:val="21"/>
        </w:rPr>
      </w:pPr>
      <w:r>
        <w:rPr>
          <w:rFonts w:hint="eastAsia" w:ascii="宋体"/>
          <w:szCs w:val="21"/>
        </w:rPr>
        <w:t>响应供应商名称（加盖公章）：</w:t>
      </w:r>
    </w:p>
    <w:p>
      <w:pPr>
        <w:widowControl w:val="0"/>
        <w:rPr>
          <w:rFonts w:ascii="宋体"/>
          <w:szCs w:val="21"/>
        </w:rPr>
      </w:pPr>
      <w:r>
        <w:rPr>
          <w:rFonts w:hint="eastAsia" w:ascii="宋体"/>
          <w:szCs w:val="21"/>
        </w:rPr>
        <w:t>日期：年 月 日</w:t>
      </w:r>
    </w:p>
    <w:p>
      <w:pPr>
        <w:widowControl w:val="0"/>
        <w:jc w:val="both"/>
        <w:rPr>
          <w:kern w:val="2"/>
          <w:szCs w:val="24"/>
        </w:rPr>
      </w:pP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说明： </w:t>
      </w: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>1.从业人员、营业收入、资产总额填报上一年度数据，无上一年度数据的新成立企业可不填报。</w:t>
      </w: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2.中小企业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政府采购活动中视同中小企业。                </w:t>
      </w: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>3.采购人将按国家有关规定随中标（成交）结果公开中标（成交）响应供应商的《中小企业声明函》。</w:t>
      </w: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>4.响应供应商应当对其出具的《中小企业声明函》真实性负责，响应供应商出具的《中小企业声明函》内容不实的，属于虚假承诺，可能面临因提供虚假资料谋取中标（成交）被监管部门追究相关法律责任。在实际操作中，响应供应商希望获得中小企业扶持政策支持的，应向货物制造商就其从业人员、营业收入、资产总额等进行了解核实，从制造商处获得充分、准确的信息，对制造商信息了解不充分，或者不能确定相关信息真实、准确的，不建议出具《中小企业声明函》。请响应供应商务必依据规定谨慎提供声明，避免不必要的法律风险。</w:t>
      </w:r>
    </w:p>
    <w:p>
      <w:pPr>
        <w:widowControl w:val="0"/>
        <w:jc w:val="both"/>
        <w:rPr>
          <w:rFonts w:ascii="宋体"/>
          <w:szCs w:val="21"/>
        </w:rPr>
      </w:pPr>
      <w:r>
        <w:rPr>
          <w:rFonts w:hint="eastAsia" w:ascii="宋体"/>
          <w:szCs w:val="21"/>
        </w:rPr>
        <w:t>5.响应供应商根据采购文件中明确的行业所对应的划分标准，判断其所投货物的制造商是否属于中小企业。</w:t>
      </w:r>
    </w:p>
    <w:p>
      <w:pPr>
        <w:jc w:val="both"/>
        <w:rPr>
          <w:rFonts w:ascii="宋体" w:hAnsi="宋体" w:cs="宋体"/>
          <w:spacing w:val="6"/>
          <w:szCs w:val="21"/>
        </w:rPr>
      </w:pPr>
      <w:r>
        <w:rPr>
          <w:rFonts w:hint="eastAsia" w:ascii="宋体"/>
          <w:szCs w:val="21"/>
        </w:rPr>
        <w:t>6.为方便广大中小企业识别企业规模类型，可通过中小企业规模类型自测小程序进行查询 http://202.106.120.146/baosong/appweb/orgScale.html。</w:t>
      </w: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Cs w:val="21"/>
        </w:rPr>
        <w:t>附件1：统计上大中小微型企业划分标准</w:t>
      </w:r>
    </w:p>
    <w:p>
      <w:pPr>
        <w:keepNext/>
        <w:keepLines/>
        <w:widowControl w:val="0"/>
        <w:tabs>
          <w:tab w:val="left" w:pos="567"/>
        </w:tabs>
        <w:spacing w:line="240" w:lineRule="exact"/>
        <w:ind w:left="992" w:hanging="56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说明：本部分格式为响应供应商认定企业类型时使用，不属于响应文件格式的组成部分。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59"/>
        <w:gridCol w:w="851"/>
        <w:gridCol w:w="1276"/>
        <w:gridCol w:w="1701"/>
        <w:gridCol w:w="1598"/>
        <w:gridCol w:w="99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行业名称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计量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大型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中型</w:t>
            </w:r>
          </w:p>
        </w:tc>
        <w:tc>
          <w:tcPr>
            <w:tcW w:w="15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小型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微型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农、林、牧、渔业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500≤Y＜20000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50≤Y＜500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工业 *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300≤X＜1000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2000≤Y＜40000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300≤Y＜2000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建筑业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Y≥80000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6000≤Y＜80000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300≤Y＜6000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资产总额(Z)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Z≥80000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5000≤Z＜80000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300≤Z＜5000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Z＜300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批发业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X≥200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20≤X＜200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5≤X＜20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5000≤Y＜40000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ind w:left="-1" w:leftChars="-1" w:hang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零售业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50≤X＜300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ind w:left="-1" w:leftChars="-1" w:hang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10≤X＜50 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500≤Y＜20000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ind w:left="-1" w:leftChars="-1" w:hang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100≤Y＜500 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交通运输业 *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300≤X＜1000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3000≤Y＜30000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200≤Y＜3000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仓储业*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X≥200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100≤X＜200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20≤X＜100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1000≤Y＜30000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邮政业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300≤X＜1000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2000≤Y＜30000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住宿业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2000≤Y＜10000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餐饮业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2000≤Y＜10000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信息传输业 *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X≥2000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100≤X＜2000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Y≥100000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1000≤Y＜100000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18"/>
                <w:szCs w:val="18"/>
              </w:rPr>
              <w:t>软件和信息技术服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务业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1000≤Y＜10000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50≤Y＜1000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房地产开发经营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Y≥200000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1000≤Y＜200000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资产总额(Z)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Z≥10000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5000≤Z＜10000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2000≤Z＜5000   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Z＜2000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物业管理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300≤X＜1000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营业收入(Y)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Y≥5000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1000≤Y＜5000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500≤Y＜1000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Y＜500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74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租赁和技术商务业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742" w:type="dxa"/>
            <w:vMerge w:val="continue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资产总额(Z)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Z≥120000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8000≤Z＜120000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100≤Z＜8000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Z＜100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174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其他未列明行业 *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从业人员(X)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X≥300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100≤X＜300 </w:t>
            </w:r>
          </w:p>
        </w:tc>
        <w:tc>
          <w:tcPr>
            <w:tcW w:w="159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X＜10</w:t>
            </w:r>
          </w:p>
        </w:tc>
      </w:tr>
    </w:tbl>
    <w:p>
      <w:pPr>
        <w:rPr>
          <w:rFonts w:ascii="宋体" w:hAnsi="宋体" w:cs="宋体"/>
          <w:color w:val="000000"/>
          <w:spacing w:val="8"/>
          <w:sz w:val="20"/>
          <w:szCs w:val="20"/>
        </w:rPr>
      </w:pPr>
      <w:r>
        <w:rPr>
          <w:rFonts w:hint="eastAsia" w:ascii="宋体" w:hAnsi="宋体" w:cs="宋体"/>
          <w:color w:val="000000"/>
          <w:spacing w:val="8"/>
          <w:sz w:val="20"/>
          <w:szCs w:val="20"/>
        </w:rPr>
        <w:t>说明：</w:t>
      </w:r>
    </w:p>
    <w:p>
      <w:pPr>
        <w:spacing w:line="260" w:lineRule="exact"/>
        <w:rPr>
          <w:rFonts w:ascii="宋体" w:hAnsi="宋体" w:cs="宋体"/>
          <w:color w:val="000000"/>
          <w:spacing w:val="8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spacing w:val="8"/>
          <w:sz w:val="20"/>
          <w:szCs w:val="20"/>
        </w:rPr>
        <w:t>1.大型、中型和小型企业须同时满足所列指标的下限，否则下划一档；微型企业只须满足所列指标中的一项即可。</w:t>
      </w:r>
    </w:p>
    <w:p>
      <w:pPr>
        <w:spacing w:line="260" w:lineRule="exact"/>
        <w:rPr>
          <w:rFonts w:ascii="宋体" w:hAnsi="宋体" w:cs="宋体"/>
          <w:color w:val="000000"/>
          <w:spacing w:val="8"/>
          <w:sz w:val="20"/>
          <w:szCs w:val="20"/>
        </w:rPr>
      </w:pPr>
      <w:r>
        <w:rPr>
          <w:rFonts w:hint="eastAsia" w:ascii="宋体" w:hAnsi="宋体" w:cs="宋体"/>
          <w:color w:val="000000"/>
          <w:spacing w:val="8"/>
          <w:sz w:val="20"/>
          <w:szCs w:val="20"/>
        </w:rPr>
        <w:t>2.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>
      <w:pPr>
        <w:spacing w:line="260" w:lineRule="exact"/>
        <w:rPr>
          <w:sz w:val="24"/>
          <w:szCs w:val="32"/>
        </w:rPr>
      </w:pPr>
      <w:r>
        <w:rPr>
          <w:rFonts w:hint="eastAsia" w:ascii="宋体" w:hAnsi="宋体" w:cs="宋体"/>
          <w:color w:val="000000"/>
          <w:spacing w:val="8"/>
          <w:sz w:val="20"/>
          <w:szCs w:val="20"/>
        </w:rPr>
        <w:t>3.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034F4"/>
    <w:rsid w:val="29C069EE"/>
    <w:rsid w:val="6410689C"/>
    <w:rsid w:val="717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widowControl w:val="0"/>
      <w:spacing w:after="120" w:line="360" w:lineRule="auto"/>
      <w:jc w:val="both"/>
    </w:pPr>
    <w:rPr>
      <w:sz w:val="16"/>
      <w:szCs w:val="16"/>
    </w:r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2025-10-16T07:14:00Z</dcterms:created>
  <dc:creator>李泽谦</dc:creator>
  <cp:lastModifiedBy>李泽谦</cp:lastModifiedBy>
  <dcterms:modified xsi:type="dcterms:W3CDTF">2025-10-16T07:23:12Z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C1EA33C745D44C7E9A3FB75D3B7D410F</vt:lpwstr>
  </property>
</Properties>
</file>