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tabs>
          <w:tab w:val="left" w:pos="851"/>
        </w:tabs>
        <w:autoSpaceDE w:val="0"/>
        <w:autoSpaceDN w:val="0"/>
        <w:adjustRightInd w:val="0"/>
        <w:spacing w:before="120" w:after="120" w:line="360" w:lineRule="auto"/>
        <w:ind w:leftChars="200"/>
        <w:textAlignment w:val="baseline"/>
        <w:rPr>
          <w:rFonts w:hint="eastAsia" w:hAnsi="宋体" w:cs="宋体"/>
          <w:b/>
          <w:bCs/>
          <w:sz w:val="28"/>
          <w:szCs w:val="28"/>
          <w:lang w:val="en-US" w:eastAsia="zh-CN"/>
        </w:rPr>
      </w:pPr>
      <w:r>
        <w:rPr>
          <w:rFonts w:hint="eastAsia" w:hAnsi="宋体" w:cs="宋体"/>
          <w:b/>
          <w:bCs/>
          <w:sz w:val="28"/>
          <w:szCs w:val="28"/>
          <w:lang w:val="en-US" w:eastAsia="zh-CN"/>
        </w:rPr>
        <w:t>施工地点、内容</w:t>
      </w:r>
    </w:p>
    <w:p>
      <w:pPr>
        <w:pStyle w:val="2"/>
        <w:numPr>
          <w:ilvl w:val="0"/>
          <w:numId w:val="0"/>
        </w:numPr>
        <w:rPr>
          <w:rFonts w:hint="eastAsia"/>
          <w:lang w:val="en-US" w:eastAsia="zh-CN"/>
        </w:rPr>
      </w:pPr>
      <w:r>
        <w:rPr>
          <w:rFonts w:hint="eastAsia"/>
          <w:lang w:val="en-US" w:eastAsia="zh-CN"/>
        </w:rPr>
        <w:t>施工地点：南琴院区中医药部</w:t>
      </w:r>
    </w:p>
    <w:p>
      <w:pPr>
        <w:pStyle w:val="3"/>
        <w:numPr>
          <w:ilvl w:val="0"/>
          <w:numId w:val="0"/>
        </w:numPr>
        <w:rPr>
          <w:rFonts w:hint="default"/>
          <w:lang w:val="en-US" w:eastAsia="zh-CN"/>
        </w:rPr>
      </w:pPr>
      <w:r>
        <w:rPr>
          <w:rFonts w:hint="eastAsia"/>
          <w:lang w:val="en-US" w:eastAsia="zh-CN"/>
        </w:rPr>
        <w:t>施工内容：</w:t>
      </w:r>
    </w:p>
    <w:tbl>
      <w:tblPr>
        <w:tblStyle w:val="4"/>
        <w:tblW w:w="90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1260"/>
        <w:gridCol w:w="2970"/>
        <w:gridCol w:w="945"/>
        <w:gridCol w:w="945"/>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2"/>
                <w:sz w:val="21"/>
                <w:szCs w:val="21"/>
                <w:u w:val="none"/>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项目名称</w:t>
            </w:r>
          </w:p>
        </w:tc>
        <w:tc>
          <w:tcPr>
            <w:tcW w:w="1260"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2"/>
                <w:sz w:val="21"/>
                <w:szCs w:val="21"/>
                <w:u w:val="none"/>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名称</w:t>
            </w:r>
          </w:p>
        </w:tc>
        <w:tc>
          <w:tcPr>
            <w:tcW w:w="2970"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2"/>
                <w:sz w:val="21"/>
                <w:szCs w:val="21"/>
                <w:u w:val="none"/>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配置描述</w:t>
            </w:r>
          </w:p>
        </w:tc>
        <w:tc>
          <w:tcPr>
            <w:tcW w:w="945"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2"/>
                <w:sz w:val="21"/>
                <w:szCs w:val="21"/>
                <w:u w:val="none"/>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2"/>
                <w:sz w:val="21"/>
                <w:szCs w:val="21"/>
                <w:u w:val="none"/>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数量</w:t>
            </w:r>
          </w:p>
        </w:tc>
        <w:tc>
          <w:tcPr>
            <w:tcW w:w="1800"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2"/>
                <w:sz w:val="21"/>
                <w:szCs w:val="21"/>
                <w:u w:val="none"/>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叫号系统</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诊室门口叫号屏</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21.5寸或22寸，1920*1080分辨率，液晶面板，</w:t>
            </w:r>
            <w:r>
              <w:rPr>
                <w:rFonts w:hint="eastAsia" w:ascii="微软雅黑" w:hAnsi="微软雅黑" w:eastAsia="微软雅黑" w:cs="微软雅黑"/>
                <w:i w:val="0"/>
                <w:iCs w:val="0"/>
                <w:caps w:val="0"/>
                <w:color w:val="1A1A1A"/>
                <w:spacing w:val="0"/>
                <w:sz w:val="21"/>
                <w:szCs w:val="21"/>
                <w:shd w:val="clear" w:fill="FFFFFF"/>
              </w:rPr>
              <w:t>非触摸屏</w:t>
            </w:r>
            <w:r>
              <w:rPr>
                <w:rFonts w:hint="eastAsia" w:ascii="微软雅黑" w:hAnsi="微软雅黑" w:eastAsia="微软雅黑" w:cs="微软雅黑"/>
                <w:i w:val="0"/>
                <w:iCs w:val="0"/>
                <w:caps w:val="0"/>
                <w:color w:val="1A1A1A"/>
                <w:spacing w:val="0"/>
                <w:sz w:val="21"/>
                <w:szCs w:val="21"/>
                <w:shd w:val="clear" w:fill="FFFFFF"/>
                <w:lang w:eastAsia="zh-CN"/>
              </w:rPr>
              <w:t>，</w:t>
            </w:r>
            <w:r>
              <w:rPr>
                <w:rFonts w:hint="eastAsia" w:ascii="微软雅黑" w:hAnsi="微软雅黑" w:eastAsia="微软雅黑" w:cs="微软雅黑"/>
                <w:i w:val="0"/>
                <w:iCs w:val="0"/>
                <w:color w:val="000000"/>
                <w:sz w:val="21"/>
                <w:szCs w:val="21"/>
                <w:u w:val="none"/>
                <w:lang w:val="en-US" w:eastAsia="zh-CN"/>
              </w:rPr>
              <w:t>可壁挂，支持横屏、竖屏，内置喇叭，USB口≥2，音频口≥1，HDMI口≥1，网口≥1，内置WIFI，系统：安卓7.0以上，可自行安装软件使用。</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包含壁挂支架、安装调试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7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一键报警系统</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一键报警按钮</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86型</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7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两芯电源线</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sz w:val="21"/>
                <w:szCs w:val="21"/>
                <w:u w:val="none"/>
                <w:lang w:val="en-US" w:eastAsia="zh-CN"/>
              </w:rPr>
              <w:t>两芯电源线</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视现场情况进行评估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7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其他</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防区模块、调试等</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视现场情况进行评估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7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网络布线</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网线</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六类非屏蔽网线</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7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六类模块</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六类非屏蔽模块</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36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7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单口网络面板</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型号:86型单口</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7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配线架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六类配线架，24口CAT6类千兆网络，1U</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7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理线架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1U理线架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7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线槽、线管</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阻燃绝缘PVC</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视现场情况进行评估</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17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其他</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穿墙打孔、线路测试、理线等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sz w:val="21"/>
                <w:szCs w:val="21"/>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sz w:val="21"/>
                <w:szCs w:val="21"/>
                <w:u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视现场情况进行评估</w:t>
            </w:r>
          </w:p>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bl>
    <w:p>
      <w:pPr>
        <w:numPr>
          <w:ilvl w:val="0"/>
          <w:numId w:val="0"/>
        </w:numPr>
        <w:tabs>
          <w:tab w:val="left" w:pos="851"/>
        </w:tabs>
        <w:autoSpaceDE w:val="0"/>
        <w:autoSpaceDN w:val="0"/>
        <w:adjustRightInd w:val="0"/>
        <w:spacing w:before="120" w:after="120" w:line="360" w:lineRule="auto"/>
        <w:ind w:left="0" w:leftChars="0" w:firstLine="420" w:firstLineChars="200"/>
        <w:textAlignment w:val="baseline"/>
        <w:rPr>
          <w:rFonts w:hint="default" w:hAnsi="宋体" w:cs="宋体"/>
          <w:b/>
          <w:bCs/>
          <w:szCs w:val="21"/>
          <w:lang w:val="en-US" w:eastAsia="zh-CN"/>
        </w:rPr>
      </w:pPr>
      <w:r>
        <w:rPr>
          <w:rFonts w:hint="eastAsia" w:ascii="微软雅黑" w:hAnsi="微软雅黑" w:eastAsia="微软雅黑" w:cs="微软雅黑"/>
          <w:i w:val="0"/>
          <w:iCs w:val="0"/>
          <w:color w:val="000000"/>
          <w:sz w:val="21"/>
          <w:szCs w:val="21"/>
          <w:u w:val="none"/>
          <w:lang w:val="en-US" w:eastAsia="zh-CN"/>
        </w:rPr>
        <w:t>诊室门口叫号屏必须能正常运行医院在用的门诊叫号程序，如不能兼容需要更换，由此产生的费用由乙方负责。</w:t>
      </w:r>
    </w:p>
    <w:p>
      <w:pPr>
        <w:numPr>
          <w:ilvl w:val="0"/>
          <w:numId w:val="0"/>
        </w:numPr>
        <w:tabs>
          <w:tab w:val="left" w:pos="851"/>
        </w:tabs>
        <w:autoSpaceDE w:val="0"/>
        <w:autoSpaceDN w:val="0"/>
        <w:adjustRightInd w:val="0"/>
        <w:spacing w:before="120" w:after="120" w:line="360" w:lineRule="auto"/>
        <w:ind w:leftChars="200"/>
        <w:textAlignment w:val="baseline"/>
        <w:rPr>
          <w:rFonts w:hint="default" w:hAnsi="宋体" w:cs="宋体"/>
          <w:b/>
          <w:bCs/>
          <w:sz w:val="28"/>
          <w:szCs w:val="28"/>
          <w:lang w:val="en-US" w:eastAsia="zh-CN"/>
        </w:rPr>
      </w:pPr>
      <w:r>
        <w:rPr>
          <w:rFonts w:hint="eastAsia" w:hAnsi="宋体" w:cs="宋体"/>
          <w:b/>
          <w:bCs/>
          <w:sz w:val="28"/>
          <w:szCs w:val="28"/>
          <w:lang w:val="en-US" w:eastAsia="zh-CN"/>
        </w:rPr>
        <w:t>二、工程要求</w:t>
      </w:r>
    </w:p>
    <w:p>
      <w:pPr>
        <w:numPr>
          <w:ilvl w:val="0"/>
          <w:numId w:val="0"/>
        </w:numPr>
        <w:tabs>
          <w:tab w:val="left" w:pos="851"/>
        </w:tabs>
        <w:autoSpaceDE w:val="0"/>
        <w:autoSpaceDN w:val="0"/>
        <w:adjustRightInd w:val="0"/>
        <w:spacing w:before="120" w:after="120" w:line="360" w:lineRule="auto"/>
        <w:textAlignment w:val="baseline"/>
        <w:rPr>
          <w:rFonts w:hint="eastAsia" w:hAnsi="宋体" w:cs="宋体"/>
          <w:szCs w:val="21"/>
        </w:rPr>
      </w:pPr>
      <w:r>
        <w:rPr>
          <w:rFonts w:hint="eastAsia" w:hAnsi="宋体" w:cs="宋体"/>
          <w:szCs w:val="21"/>
          <w:lang w:val="en-US" w:eastAsia="zh-CN"/>
        </w:rPr>
        <w:t>1、</w:t>
      </w:r>
      <w:r>
        <w:rPr>
          <w:rFonts w:hint="eastAsia" w:hAnsi="宋体" w:cs="宋体"/>
          <w:szCs w:val="21"/>
        </w:rPr>
        <w:t>工期：自合同签订之日起，</w:t>
      </w:r>
      <w:r>
        <w:rPr>
          <w:rFonts w:hint="eastAsia" w:hAnsi="宋体" w:cs="宋体"/>
          <w:szCs w:val="21"/>
          <w:lang w:val="en-US" w:eastAsia="zh-CN"/>
        </w:rPr>
        <w:t>10</w:t>
      </w:r>
      <w:bookmarkStart w:id="0" w:name="_GoBack"/>
      <w:bookmarkEnd w:id="0"/>
      <w:r>
        <w:rPr>
          <w:rFonts w:hint="eastAsia" w:hAnsi="宋体" w:cs="宋体"/>
          <w:szCs w:val="21"/>
          <w:lang w:val="en-US" w:eastAsia="zh-CN"/>
        </w:rPr>
        <w:t>个工作日</w:t>
      </w:r>
      <w:r>
        <w:rPr>
          <w:rFonts w:hint="eastAsia" w:hAnsi="宋体" w:cs="宋体"/>
          <w:szCs w:val="21"/>
        </w:rPr>
        <w:t>内完成所有工程的配套物资供货、安装、调试和验收，并交付给甲方正常使用。</w:t>
      </w:r>
    </w:p>
    <w:p>
      <w:pPr>
        <w:pStyle w:val="2"/>
        <w:rPr>
          <w:rFonts w:hint="eastAsia"/>
        </w:rPr>
      </w:pP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val="en-US" w:eastAsia="zh-CN"/>
        </w:rPr>
        <w:t>2、</w:t>
      </w:r>
      <w:r>
        <w:rPr>
          <w:rFonts w:hint="eastAsia" w:hAnsi="宋体" w:cs="宋体"/>
          <w:szCs w:val="21"/>
        </w:rPr>
        <w:t>工程要求：</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eastAsia="zh-CN"/>
        </w:rPr>
        <w:t>（</w:t>
      </w:r>
      <w:r>
        <w:rPr>
          <w:rFonts w:hint="eastAsia" w:hAnsi="宋体" w:cs="宋体"/>
          <w:szCs w:val="21"/>
          <w:lang w:val="en-US" w:eastAsia="zh-CN"/>
        </w:rPr>
        <w:t>1</w:t>
      </w:r>
      <w:r>
        <w:rPr>
          <w:rFonts w:hint="eastAsia" w:hAnsi="宋体" w:cs="宋体"/>
          <w:szCs w:val="21"/>
          <w:lang w:eastAsia="zh-CN"/>
        </w:rPr>
        <w:t>）</w:t>
      </w:r>
      <w:r>
        <w:rPr>
          <w:rFonts w:hint="eastAsia" w:hAnsi="宋体" w:cs="宋体"/>
          <w:szCs w:val="21"/>
        </w:rPr>
        <w:t>如网络布线工程比较复杂，需主动与客户协商网络需求，现场查看，根据客户提出的信息点位置和数量、其他要求。结合施工现场实际情况，初步预定信息点数目与位置。并与客户沟通。</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eastAsia="zh-CN"/>
        </w:rPr>
        <w:t>（</w:t>
      </w:r>
      <w:r>
        <w:rPr>
          <w:rFonts w:hint="eastAsia" w:hAnsi="宋体" w:cs="宋体"/>
          <w:szCs w:val="21"/>
          <w:lang w:val="en-US" w:eastAsia="zh-CN"/>
        </w:rPr>
        <w:t>2</w:t>
      </w:r>
      <w:r>
        <w:rPr>
          <w:rFonts w:hint="eastAsia" w:hAnsi="宋体" w:cs="宋体"/>
          <w:szCs w:val="21"/>
          <w:lang w:eastAsia="zh-CN"/>
        </w:rPr>
        <w:t>）</w:t>
      </w:r>
      <w:r>
        <w:rPr>
          <w:rFonts w:hint="eastAsia" w:hAnsi="宋体" w:cs="宋体"/>
          <w:szCs w:val="21"/>
        </w:rPr>
        <w:t>每根网线的两头要用独立的标志标记出来。</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lang w:eastAsia="zh-CN"/>
        </w:rPr>
      </w:pPr>
      <w:r>
        <w:rPr>
          <w:rFonts w:hint="eastAsia" w:hAnsi="宋体" w:cs="宋体"/>
          <w:szCs w:val="21"/>
          <w:lang w:eastAsia="zh-CN"/>
        </w:rPr>
        <w:t>（</w:t>
      </w:r>
      <w:r>
        <w:rPr>
          <w:rFonts w:hint="eastAsia" w:hAnsi="宋体" w:cs="宋体"/>
          <w:szCs w:val="21"/>
          <w:lang w:val="en-US" w:eastAsia="zh-CN"/>
        </w:rPr>
        <w:t>3</w:t>
      </w:r>
      <w:r>
        <w:rPr>
          <w:rFonts w:hint="eastAsia" w:hAnsi="宋体" w:cs="宋体"/>
          <w:szCs w:val="21"/>
          <w:lang w:eastAsia="zh-CN"/>
        </w:rPr>
        <w:t>）</w:t>
      </w:r>
      <w:r>
        <w:rPr>
          <w:rFonts w:hint="eastAsia" w:hAnsi="宋体" w:cs="宋体"/>
          <w:szCs w:val="21"/>
        </w:rPr>
        <w:t>当网线与强电交叉或平行分布时，网线要与强电保持 15 公分左右的距离，同时要尽量远离可能的干扰设备</w:t>
      </w:r>
      <w:r>
        <w:rPr>
          <w:rFonts w:hint="eastAsia" w:hAnsi="宋体" w:cs="宋体"/>
          <w:szCs w:val="21"/>
          <w:lang w:eastAsia="zh-CN"/>
        </w:rPr>
        <w:t>。</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lang w:eastAsia="zh-CN"/>
        </w:rPr>
      </w:pPr>
      <w:r>
        <w:rPr>
          <w:rFonts w:hint="eastAsia" w:hAnsi="宋体" w:cs="宋体"/>
          <w:szCs w:val="21"/>
          <w:lang w:eastAsia="zh-CN"/>
        </w:rPr>
        <w:t>（</w:t>
      </w:r>
      <w:r>
        <w:rPr>
          <w:rFonts w:hint="eastAsia" w:hAnsi="宋体" w:cs="宋体"/>
          <w:szCs w:val="21"/>
          <w:lang w:val="en-US" w:eastAsia="zh-CN"/>
        </w:rPr>
        <w:t>4</w:t>
      </w:r>
      <w:r>
        <w:rPr>
          <w:rFonts w:hint="eastAsia" w:hAnsi="宋体" w:cs="宋体"/>
          <w:szCs w:val="21"/>
          <w:lang w:eastAsia="zh-CN"/>
        </w:rPr>
        <w:t>）</w:t>
      </w:r>
      <w:r>
        <w:rPr>
          <w:rFonts w:hint="eastAsia" w:hAnsi="宋体" w:cs="宋体"/>
          <w:szCs w:val="21"/>
        </w:rPr>
        <w:t>机房的网线要按交换机的位置留 3-4 米左右的余量</w:t>
      </w:r>
      <w:r>
        <w:rPr>
          <w:rFonts w:hint="eastAsia" w:hAnsi="宋体" w:cs="宋体"/>
          <w:szCs w:val="21"/>
          <w:lang w:eastAsia="zh-CN"/>
        </w:rPr>
        <w:t>。</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eastAsia="zh-CN"/>
        </w:rPr>
        <w:t>（</w:t>
      </w:r>
      <w:r>
        <w:rPr>
          <w:rFonts w:hint="eastAsia" w:hAnsi="宋体" w:cs="宋体"/>
          <w:szCs w:val="21"/>
          <w:lang w:val="en-US" w:eastAsia="zh-CN"/>
        </w:rPr>
        <w:t>5</w:t>
      </w:r>
      <w:r>
        <w:rPr>
          <w:rFonts w:hint="eastAsia" w:hAnsi="宋体" w:cs="宋体"/>
          <w:szCs w:val="21"/>
          <w:lang w:eastAsia="zh-CN"/>
        </w:rPr>
        <w:t>）</w:t>
      </w:r>
      <w:r>
        <w:rPr>
          <w:rFonts w:hint="eastAsia" w:hAnsi="宋体" w:cs="宋体"/>
          <w:szCs w:val="21"/>
        </w:rPr>
        <w:t>布线过程中不允许将网线折死弯，网线不能有硬伤，布线完毕后，一定要做好水晶头，网线插入电脑主机或交换设备，并测试网络是否畅通。</w:t>
      </w:r>
    </w:p>
    <w:p>
      <w:pPr>
        <w:pStyle w:val="2"/>
        <w:rPr>
          <w:rFonts w:hint="eastAsia"/>
        </w:rPr>
      </w:pP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val="en-US" w:eastAsia="zh-CN"/>
        </w:rPr>
        <w:t>3、</w:t>
      </w:r>
      <w:r>
        <w:rPr>
          <w:rFonts w:hint="eastAsia" w:hAnsi="宋体" w:cs="宋体"/>
          <w:szCs w:val="21"/>
        </w:rPr>
        <w:t>交付与验收</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lang w:eastAsia="zh-CN"/>
        </w:rPr>
      </w:pPr>
      <w:r>
        <w:rPr>
          <w:rFonts w:hint="eastAsia" w:hAnsi="宋体" w:cs="宋体"/>
          <w:szCs w:val="21"/>
          <w:lang w:eastAsia="zh-CN"/>
        </w:rPr>
        <w:t>（</w:t>
      </w:r>
      <w:r>
        <w:rPr>
          <w:rFonts w:hint="eastAsia" w:hAnsi="宋体" w:cs="宋体"/>
          <w:szCs w:val="21"/>
          <w:lang w:val="en-US" w:eastAsia="zh-CN"/>
        </w:rPr>
        <w:t>1</w:t>
      </w:r>
      <w:r>
        <w:rPr>
          <w:rFonts w:hint="eastAsia" w:hAnsi="宋体" w:cs="宋体"/>
          <w:szCs w:val="21"/>
          <w:lang w:eastAsia="zh-CN"/>
        </w:rPr>
        <w:t>）</w:t>
      </w:r>
      <w:r>
        <w:rPr>
          <w:rFonts w:hint="eastAsia" w:hAnsi="宋体" w:cs="宋体"/>
          <w:szCs w:val="21"/>
        </w:rPr>
        <w:t>验收标准：乙方在甲方指定现场进行工程实施，安装、调试、上线</w:t>
      </w:r>
      <w:r>
        <w:rPr>
          <w:rFonts w:hint="eastAsia" w:hAnsi="宋体" w:cs="宋体"/>
          <w:szCs w:val="21"/>
          <w:lang w:eastAsia="zh-CN"/>
        </w:rPr>
        <w:t>。</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eastAsia="zh-CN"/>
        </w:rPr>
        <w:t>（</w:t>
      </w:r>
      <w:r>
        <w:rPr>
          <w:rFonts w:hint="eastAsia" w:hAnsi="宋体" w:cs="宋体"/>
          <w:szCs w:val="21"/>
          <w:lang w:val="en-US" w:eastAsia="zh-CN"/>
        </w:rPr>
        <w:t>2</w:t>
      </w:r>
      <w:r>
        <w:rPr>
          <w:rFonts w:hint="eastAsia" w:hAnsi="宋体" w:cs="宋体"/>
          <w:szCs w:val="21"/>
          <w:lang w:eastAsia="zh-CN"/>
        </w:rPr>
        <w:t>）</w:t>
      </w:r>
      <w:r>
        <w:rPr>
          <w:rFonts w:hint="eastAsia" w:hAnsi="宋体" w:cs="宋体"/>
          <w:szCs w:val="21"/>
        </w:rPr>
        <w:t>验收方法：甲乙双方联合验收，甲方有权邀请第三方进行验收，乙方应提供经甲方认可的工程验收报告。</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eastAsia="zh-CN"/>
        </w:rPr>
        <w:t>（</w:t>
      </w:r>
      <w:r>
        <w:rPr>
          <w:rFonts w:hint="eastAsia" w:hAnsi="宋体" w:cs="宋体"/>
          <w:szCs w:val="21"/>
          <w:lang w:val="en-US" w:eastAsia="zh-CN"/>
        </w:rPr>
        <w:t>3</w:t>
      </w:r>
      <w:r>
        <w:rPr>
          <w:rFonts w:hint="eastAsia" w:hAnsi="宋体" w:cs="宋体"/>
          <w:szCs w:val="21"/>
          <w:lang w:eastAsia="zh-CN"/>
        </w:rPr>
        <w:t>）</w:t>
      </w:r>
      <w:r>
        <w:rPr>
          <w:rFonts w:hint="eastAsia" w:hAnsi="宋体" w:cs="宋体"/>
          <w:szCs w:val="21"/>
        </w:rPr>
        <w:t>验收相关费用：甲方组成验收小组按国家有关规定、规范进行验收，必要时邀请相关的专业人员或机构参与验收。因工程质量问题发生争议时，由珠海市的相关政府部门鉴定。货物符合质量技术标准的，鉴定费由甲方承担;否则鉴定费由乙方承担。</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eastAsia="zh-CN"/>
        </w:rPr>
        <w:t>（</w:t>
      </w:r>
      <w:r>
        <w:rPr>
          <w:rFonts w:hint="eastAsia" w:hAnsi="宋体" w:cs="宋体"/>
          <w:szCs w:val="21"/>
          <w:lang w:val="en-US" w:eastAsia="zh-CN"/>
        </w:rPr>
        <w:t>4</w:t>
      </w:r>
      <w:r>
        <w:rPr>
          <w:rFonts w:hint="eastAsia" w:hAnsi="宋体" w:cs="宋体"/>
          <w:szCs w:val="21"/>
          <w:lang w:eastAsia="zh-CN"/>
        </w:rPr>
        <w:t>）</w:t>
      </w:r>
      <w:r>
        <w:rPr>
          <w:rFonts w:hint="eastAsia" w:hAnsi="宋体" w:cs="宋体"/>
          <w:szCs w:val="21"/>
        </w:rPr>
        <w:t>验收时间及期限：除因甲方场地等原因外，乙方必须按时按质完成工程。工程实施完成后，7个工作日内，甲方组织进行验收。</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val="en-US" w:eastAsia="zh-CN"/>
        </w:rPr>
        <w:t>4、</w:t>
      </w:r>
      <w:r>
        <w:rPr>
          <w:rFonts w:hint="eastAsia" w:hAnsi="宋体" w:cs="宋体"/>
          <w:szCs w:val="21"/>
        </w:rPr>
        <w:t>付款方式、时间及付款条件</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eastAsia="zh-CN"/>
        </w:rPr>
        <w:t>（</w:t>
      </w:r>
      <w:r>
        <w:rPr>
          <w:rFonts w:hint="eastAsia" w:hAnsi="宋体" w:cs="宋体"/>
          <w:szCs w:val="21"/>
          <w:lang w:val="en-US" w:eastAsia="zh-CN"/>
        </w:rPr>
        <w:t>1</w:t>
      </w:r>
      <w:r>
        <w:rPr>
          <w:rFonts w:hint="eastAsia" w:hAnsi="宋体" w:cs="宋体"/>
          <w:szCs w:val="21"/>
          <w:lang w:eastAsia="zh-CN"/>
        </w:rPr>
        <w:t>）</w:t>
      </w:r>
      <w:r>
        <w:rPr>
          <w:rFonts w:hint="eastAsia" w:hAnsi="宋体" w:cs="宋体"/>
          <w:szCs w:val="21"/>
        </w:rPr>
        <w:t>付款时间及条件：</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rPr>
        <w:t>合同签订后，乙方完成施工，安装调试、配置齐全、提供甲方书面认可的安装验收报告，</w:t>
      </w:r>
      <w:r>
        <w:rPr>
          <w:rFonts w:hint="eastAsia" w:hAnsi="宋体" w:cs="宋体"/>
          <w:szCs w:val="21"/>
          <w:lang w:val="en-US" w:eastAsia="zh-CN"/>
        </w:rPr>
        <w:t>60天内</w:t>
      </w:r>
      <w:r>
        <w:rPr>
          <w:rFonts w:hint="eastAsia" w:hAnsi="宋体" w:cs="宋体"/>
          <w:szCs w:val="21"/>
        </w:rPr>
        <w:t>支付合同总额的100%货款。</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eastAsia="zh-CN"/>
        </w:rPr>
        <w:t>（</w:t>
      </w:r>
      <w:r>
        <w:rPr>
          <w:rFonts w:hint="eastAsia" w:hAnsi="宋体" w:cs="宋体"/>
          <w:szCs w:val="21"/>
          <w:lang w:val="en-US" w:eastAsia="zh-CN"/>
        </w:rPr>
        <w:t>2</w:t>
      </w:r>
      <w:r>
        <w:rPr>
          <w:rFonts w:hint="eastAsia" w:hAnsi="宋体" w:cs="宋体"/>
          <w:szCs w:val="21"/>
          <w:lang w:eastAsia="zh-CN"/>
        </w:rPr>
        <w:t>）</w:t>
      </w:r>
      <w:r>
        <w:rPr>
          <w:rFonts w:hint="eastAsia" w:hAnsi="宋体" w:cs="宋体"/>
          <w:szCs w:val="21"/>
        </w:rPr>
        <w:t>付款方式：银行转帐或商业承兑汇票</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rPr>
        <w:t>所有发票开出后2个工作日内乙方须送至甲方。如开票日期与甲方要求不符，乙方须重新开票，造成的一切后果由乙方自行承担。乙方向甲方提供合法有效的全额税务发票后，甲方才向乙方付款，否则，甲方有权延迟支付且不承担任何责任。如果本采购项目属于使用财政资金的政府采购项目，若设备还未到货或只部分到货，申请支付预付款时，须提供接受方为甲方的预付款保函（包含银行、保险公司、担保机构提供的保函），每次付款前乙方按财政部门要求将资金支付申请资料提供完毕后，甲方才能向政府采购部门提交支付申请手续，甲方按照其结算程序向政府采购支付部门提出办理财政支付申请手续的即视为甲方已经按期支付，最终结算金额按财政部门或财政部门授权的第三方审定金额进行结算，其支付方式、支付比例按照政府相关文件办理。</w:t>
      </w:r>
    </w:p>
    <w:p>
      <w:pPr>
        <w:pStyle w:val="2"/>
        <w:rPr>
          <w:rFonts w:hint="eastAsia"/>
        </w:rPr>
      </w:pP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val="en-US" w:eastAsia="zh-CN"/>
        </w:rPr>
        <w:t>5、</w:t>
      </w:r>
      <w:r>
        <w:rPr>
          <w:rFonts w:hint="eastAsia" w:hAnsi="宋体" w:cs="宋体"/>
          <w:szCs w:val="21"/>
        </w:rPr>
        <w:t>质量保证及售后服务</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eastAsia="zh-CN"/>
        </w:rPr>
        <w:t>（</w:t>
      </w:r>
      <w:r>
        <w:rPr>
          <w:rFonts w:hint="eastAsia" w:hAnsi="宋体" w:cs="宋体"/>
          <w:szCs w:val="21"/>
          <w:lang w:val="en-US" w:eastAsia="zh-CN"/>
        </w:rPr>
        <w:t>1</w:t>
      </w:r>
      <w:r>
        <w:rPr>
          <w:rFonts w:hint="eastAsia" w:hAnsi="宋体" w:cs="宋体"/>
          <w:szCs w:val="21"/>
          <w:lang w:eastAsia="zh-CN"/>
        </w:rPr>
        <w:t>）</w:t>
      </w:r>
      <w:r>
        <w:rPr>
          <w:rFonts w:hint="eastAsia" w:hAnsi="宋体" w:cs="宋体"/>
          <w:szCs w:val="21"/>
        </w:rPr>
        <w:t>质量保证期：自验收合格之日起壹年质保，质保期内乙方提供24小时全天候技术支持。</w:t>
      </w:r>
    </w:p>
    <w:p>
      <w:pPr>
        <w:tabs>
          <w:tab w:val="left" w:pos="851"/>
          <w:tab w:val="left" w:pos="1200"/>
        </w:tabs>
        <w:autoSpaceDE w:val="0"/>
        <w:autoSpaceDN w:val="0"/>
        <w:adjustRightInd w:val="0"/>
        <w:spacing w:before="120" w:after="120" w:line="360" w:lineRule="auto"/>
        <w:ind w:left="0" w:leftChars="0" w:firstLine="0" w:firstLineChars="0"/>
        <w:textAlignment w:val="baseline"/>
        <w:rPr>
          <w:rFonts w:hint="eastAsia" w:hAnsi="宋体" w:cs="宋体"/>
          <w:szCs w:val="21"/>
        </w:rPr>
      </w:pPr>
      <w:r>
        <w:rPr>
          <w:rFonts w:hint="eastAsia" w:hAnsi="宋体" w:cs="宋体"/>
          <w:szCs w:val="21"/>
          <w:lang w:eastAsia="zh-CN"/>
        </w:rPr>
        <w:t>（</w:t>
      </w:r>
      <w:r>
        <w:rPr>
          <w:rFonts w:hint="eastAsia" w:hAnsi="宋体" w:cs="宋体"/>
          <w:szCs w:val="21"/>
          <w:lang w:val="en-US" w:eastAsia="zh-CN"/>
        </w:rPr>
        <w:t>2</w:t>
      </w:r>
      <w:r>
        <w:rPr>
          <w:rFonts w:hint="eastAsia" w:hAnsi="宋体" w:cs="宋体"/>
          <w:szCs w:val="21"/>
          <w:lang w:eastAsia="zh-CN"/>
        </w:rPr>
        <w:t>）</w:t>
      </w:r>
      <w:r>
        <w:rPr>
          <w:rFonts w:hint="eastAsia" w:hAnsi="宋体" w:cs="宋体"/>
          <w:szCs w:val="21"/>
        </w:rPr>
        <w:t>售后服务：如乙方未能履行</w:t>
      </w:r>
      <w:r>
        <w:rPr>
          <w:rFonts w:hint="eastAsia" w:hAnsi="宋体" w:cs="宋体"/>
          <w:szCs w:val="21"/>
          <w:lang w:val="en-US" w:eastAsia="zh-CN"/>
        </w:rPr>
        <w:t>合同</w:t>
      </w:r>
      <w:r>
        <w:rPr>
          <w:rFonts w:hint="eastAsia" w:hAnsi="宋体" w:cs="宋体"/>
          <w:szCs w:val="21"/>
        </w:rPr>
        <w:t>的约定，甲方有权向乙方索赔，索赔金额不低于合同金额的5%；若索赔金额不足以赔偿甲方损失的，甲方有权要求乙方另行支付损失赔偿。若乙方拒不支付的，甲方有权追究乙方法律责任，并将乙方及其关联公司纳入黑名单，5年内不得参与甲方的任何采购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A5608"/>
    <w:multiLevelType w:val="multilevel"/>
    <w:tmpl w:val="3F8A5608"/>
    <w:lvl w:ilvl="0" w:tentative="0">
      <w:start w:val="1"/>
      <w:numFmt w:val="decimal"/>
      <w:pStyle w:val="3"/>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
    <w:nsid w:val="4F6663F3"/>
    <w:multiLevelType w:val="singleLevel"/>
    <w:tmpl w:val="4F6663F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3737"/>
    <w:rsid w:val="05B34780"/>
    <w:rsid w:val="08FD6FB7"/>
    <w:rsid w:val="13BD19B0"/>
    <w:rsid w:val="1D3C7F8B"/>
    <w:rsid w:val="1FFE161C"/>
    <w:rsid w:val="25B12B88"/>
    <w:rsid w:val="2ACD7115"/>
    <w:rsid w:val="30CB64D8"/>
    <w:rsid w:val="32DF5385"/>
    <w:rsid w:val="34797742"/>
    <w:rsid w:val="3A727FCA"/>
    <w:rsid w:val="3A8D53E2"/>
    <w:rsid w:val="491E2F33"/>
    <w:rsid w:val="4FB45C80"/>
    <w:rsid w:val="533B708F"/>
    <w:rsid w:val="58945D62"/>
    <w:rsid w:val="58C05C95"/>
    <w:rsid w:val="5BD82026"/>
    <w:rsid w:val="62242BB8"/>
    <w:rsid w:val="6B2B49C0"/>
    <w:rsid w:val="6D05726A"/>
    <w:rsid w:val="6E023C8A"/>
    <w:rsid w:val="758A446C"/>
    <w:rsid w:val="77B329DB"/>
    <w:rsid w:val="78E57CE3"/>
    <w:rsid w:val="7A187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szCs w:val="22"/>
    </w:rPr>
  </w:style>
  <w:style w:type="paragraph" w:styleId="3">
    <w:name w:val="Body Text First Indent"/>
    <w:basedOn w:val="2"/>
    <w:unhideWhenUsed/>
    <w:qFormat/>
    <w:uiPriority w:val="0"/>
    <w:pPr>
      <w:numPr>
        <w:ilvl w:val="0"/>
        <w:numId w:val="1"/>
      </w:numPr>
      <w:tabs>
        <w:tab w:val="clear" w:pos="420"/>
      </w:tabs>
      <w:spacing w:line="360" w:lineRule="auto"/>
      <w:ind w:left="0"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2025-06-30T07:16:00Z</dcterms:created>
  <dc:creator>fy</dc:creator>
  <cp:lastModifiedBy>ly</cp:lastModifiedBy>
  <dcterms:modified xsi:type="dcterms:W3CDTF">2025-07-31T02:31:19Z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B0ED3E4F3BC5485D9BFF09301E995AF6</vt:lpwstr>
  </property>
</Properties>
</file>