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jc w:val="both"/>
        <w:rPr>
          <w:b/>
        </w:rPr>
      </w:pPr>
    </w:p>
    <w:p>
      <w:pPr>
        <w:pStyle w:val="12"/>
        <w:spacing w:before="8"/>
        <w:rPr>
          <w:rFonts w:ascii="黑体"/>
          <w:sz w:val="15"/>
        </w:rPr>
      </w:pPr>
    </w:p>
    <w:p>
      <w:pPr>
        <w:pStyle w:val="3"/>
        <w:spacing w:before="56"/>
        <w:rPr>
          <w:b/>
        </w:rPr>
      </w:pPr>
      <w:r>
        <w:rPr>
          <w:b/>
        </w:rPr>
        <w:t>珠海市妇幼保健院采购需求书（服务类）</w:t>
      </w:r>
    </w:p>
    <w:p>
      <w:pPr>
        <w:pStyle w:val="12"/>
        <w:rPr>
          <w:rFonts w:ascii="宋体"/>
          <w:sz w:val="20"/>
        </w:rPr>
      </w:pPr>
    </w:p>
    <w:p>
      <w:pPr>
        <w:pStyle w:val="12"/>
        <w:spacing w:before="12"/>
        <w:rPr>
          <w:rFonts w:ascii="宋体"/>
          <w:sz w:val="29"/>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5"/>
        <w:gridCol w:w="721"/>
        <w:gridCol w:w="9284"/>
        <w:tblGridChange w:id="0">
          <w:tblGrid>
            <w:gridCol w:w="5"/>
            <w:gridCol w:w="990"/>
            <w:gridCol w:w="5"/>
            <w:gridCol w:w="716"/>
            <w:gridCol w:w="5"/>
            <w:gridCol w:w="9279"/>
            <w:gridCol w:w="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2035" w:type="dxa"/>
            <w:gridSpan w:val="2"/>
          </w:tcPr>
          <w:p>
            <w:pPr>
              <w:pStyle w:val="22"/>
              <w:spacing w:before="199"/>
              <w:ind w:left="173"/>
              <w:rPr>
                <w:b/>
                <w:sz w:val="28"/>
              </w:rPr>
            </w:pPr>
            <w:r>
              <w:rPr>
                <w:b/>
                <w:sz w:val="28"/>
              </w:rPr>
              <w:t>采购项目名称</w:t>
            </w:r>
          </w:p>
        </w:tc>
        <w:tc>
          <w:tcPr>
            <w:tcW w:w="8072" w:type="dxa"/>
          </w:tcPr>
          <w:p>
            <w:pPr>
              <w:pStyle w:val="22"/>
              <w:rPr>
                <w:rFonts w:hint="default" w:ascii="Times New Roman" w:eastAsia="宋体"/>
                <w:sz w:val="30"/>
                <w:lang w:val="en-US" w:eastAsia="zh-CN"/>
              </w:rPr>
            </w:pPr>
            <w:r>
              <w:rPr>
                <w:rFonts w:hint="eastAsia" w:ascii="Times New Roman"/>
                <w:sz w:val="30"/>
                <w:lang w:val="en-US" w:eastAsia="zh-CN"/>
              </w:rPr>
              <w:t>珠海市妇幼保健院柠溪院区5号楼电梯维保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8" w:hRule="atLeast"/>
          <w:jc w:val="center"/>
        </w:trPr>
        <w:tc>
          <w:tcPr>
            <w:tcW w:w="1017" w:type="dxa"/>
          </w:tcPr>
          <w:p>
            <w:pPr>
              <w:pStyle w:val="22"/>
              <w:jc w:val="center"/>
              <w:rPr>
                <w:sz w:val="28"/>
              </w:rPr>
            </w:pPr>
          </w:p>
        </w:tc>
        <w:tc>
          <w:tcPr>
            <w:tcW w:w="1018" w:type="dxa"/>
            <w:vAlign w:val="center"/>
          </w:tcPr>
          <w:p>
            <w:pPr>
              <w:pStyle w:val="22"/>
              <w:spacing w:before="239" w:line="417" w:lineRule="auto"/>
              <w:ind w:right="217"/>
              <w:rPr>
                <w:b/>
                <w:sz w:val="28"/>
              </w:rPr>
            </w:pPr>
            <w:r>
              <w:rPr>
                <w:rFonts w:hint="eastAsia"/>
                <w:b/>
                <w:sz w:val="28"/>
              </w:rPr>
              <w:t>基本信息</w:t>
            </w:r>
          </w:p>
        </w:tc>
        <w:tc>
          <w:tcPr>
            <w:tcW w:w="8072" w:type="dxa"/>
          </w:tcPr>
          <w:p>
            <w:pPr>
              <w:widowControl/>
              <w:spacing w:line="560" w:lineRule="exact"/>
              <w:rPr>
                <w:rFonts w:hint="default" w:ascii="仿宋_GB2312" w:hAnsi="宋体" w:eastAsia="仿宋_GB2312" w:cs="宋体"/>
                <w:b/>
                <w:sz w:val="32"/>
                <w:szCs w:val="32"/>
                <w:lang w:val="en-US" w:eastAsia="zh-CN"/>
              </w:rPr>
            </w:pPr>
            <w:r>
              <w:rPr>
                <w:rFonts w:hint="eastAsia" w:ascii="仿宋_GB2312" w:hAnsi="宋体" w:eastAsia="仿宋_GB2312" w:cs="宋体"/>
                <w:b/>
                <w:sz w:val="32"/>
                <w:szCs w:val="32"/>
              </w:rPr>
              <w:t>（一）项目名称：</w:t>
            </w:r>
            <w:r>
              <w:rPr>
                <w:rFonts w:ascii="仿宋_GB2312" w:hAnsi="宋体" w:eastAsia="仿宋_GB2312" w:cs="宋体"/>
                <w:b/>
                <w:sz w:val="32"/>
                <w:szCs w:val="32"/>
              </w:rPr>
              <w:t xml:space="preserve"> </w:t>
            </w:r>
            <w:r>
              <w:rPr>
                <w:rFonts w:hint="eastAsia" w:ascii="仿宋_GB2312" w:hAnsi="宋体" w:eastAsia="仿宋_GB2312" w:cs="宋体"/>
                <w:b/>
                <w:sz w:val="32"/>
                <w:szCs w:val="32"/>
                <w:lang w:val="en-US" w:eastAsia="zh-CN"/>
              </w:rPr>
              <w:t>珠海市妇幼保健院柠溪院区5号楼电梯维保</w:t>
            </w:r>
          </w:p>
          <w:p>
            <w:pPr>
              <w:pStyle w:val="12"/>
              <w:rPr>
                <w:rFonts w:hint="default" w:ascii="仿宋_GB2312" w:hAnsi="宋体" w:eastAsia="仿宋_GB2312" w:cs="宋体"/>
                <w:b/>
                <w:u w:val="single"/>
                <w:lang w:val="en-US" w:eastAsia="zh-CN"/>
              </w:rPr>
            </w:pPr>
            <w:r>
              <w:rPr>
                <w:rFonts w:hint="eastAsia" w:ascii="仿宋_GB2312" w:hAnsi="宋体" w:eastAsia="仿宋_GB2312" w:cs="宋体"/>
                <w:b/>
              </w:rPr>
              <w:t>（二）项目内容：</w:t>
            </w:r>
            <w:r>
              <w:rPr>
                <w:rFonts w:hint="eastAsia" w:ascii="仿宋_GB2312" w:hAnsi="宋体" w:eastAsia="仿宋_GB2312" w:cs="宋体"/>
                <w:b/>
                <w:lang w:eastAsia="zh-CN"/>
              </w:rPr>
              <w:t>采购一家</w:t>
            </w:r>
            <w:r>
              <w:rPr>
                <w:rFonts w:hint="eastAsia" w:ascii="仿宋_GB2312" w:hAnsi="宋体" w:eastAsia="仿宋_GB2312" w:cs="宋体"/>
                <w:b/>
                <w:lang w:val="en-US" w:eastAsia="zh-CN"/>
              </w:rPr>
              <w:t>珠海市妇幼保健院柠溪院区5号楼曳引式电梯和扶手电梯维保单位。服务期两年。</w:t>
            </w:r>
            <w:r>
              <w:rPr>
                <w:rFonts w:hint="eastAsia" w:ascii="仿宋_GB2312" w:hAnsi="宋体" w:eastAsia="仿宋_GB2312" w:cs="宋体"/>
                <w:b/>
                <w:lang w:val="en-US"/>
              </w:rPr>
              <w:t>该项目</w:t>
            </w:r>
            <w:r>
              <w:rPr>
                <w:rFonts w:hint="eastAsia" w:ascii="仿宋_GB2312" w:hAnsi="宋体" w:eastAsia="仿宋_GB2312" w:cs="宋体"/>
                <w:b/>
                <w:lang w:val="en-US" w:eastAsia="zh-CN"/>
              </w:rPr>
              <w:t>合同签订</w:t>
            </w:r>
            <w:r>
              <w:rPr>
                <w:rFonts w:hint="eastAsia" w:ascii="仿宋_GB2312" w:hAnsi="宋体" w:eastAsia="仿宋_GB2312" w:cs="宋体"/>
                <w:b/>
                <w:lang w:val="en-US"/>
              </w:rPr>
              <w:t>采用1+1的形式，一年合同期满后，采购人对中标人的服务质量进行测评，如每季度平均考核得分不低于85分，则续约</w:t>
            </w:r>
            <w:r>
              <w:rPr>
                <w:rFonts w:hint="eastAsia" w:ascii="仿宋_GB2312" w:hAnsi="宋体" w:eastAsia="仿宋_GB2312" w:cs="宋体"/>
                <w:b/>
                <w:lang w:val="en-US" w:eastAsia="zh-CN"/>
              </w:rPr>
              <w:t>第二年</w:t>
            </w:r>
            <w:r>
              <w:rPr>
                <w:rFonts w:hint="eastAsia" w:ascii="仿宋_GB2312" w:hAnsi="宋体" w:eastAsia="仿宋_GB2312" w:cs="宋体"/>
                <w:b/>
                <w:lang w:val="en-US"/>
              </w:rPr>
              <w:t>，否则采购人有权终止合同。</w:t>
            </w:r>
          </w:p>
          <w:p>
            <w:pPr>
              <w:widowControl/>
              <w:spacing w:line="560" w:lineRule="exact"/>
              <w:rPr>
                <w:rFonts w:hint="eastAsia" w:ascii="黑体" w:hAnsi="黑体" w:eastAsia="仿宋_GB2312" w:cs="宋体"/>
                <w:bCs/>
                <w:sz w:val="32"/>
                <w:szCs w:val="32"/>
                <w:lang w:val="en-US" w:eastAsia="zh-CN"/>
              </w:rPr>
            </w:pPr>
            <w:r>
              <w:rPr>
                <w:rFonts w:hint="eastAsia" w:ascii="仿宋_GB2312" w:hAnsi="宋体" w:eastAsia="仿宋_GB2312" w:cs="宋体"/>
                <w:b/>
                <w:sz w:val="32"/>
                <w:szCs w:val="32"/>
              </w:rPr>
              <w:t>（三）项目预算：</w:t>
            </w:r>
            <w:r>
              <w:rPr>
                <w:rFonts w:hint="eastAsia" w:ascii="仿宋_GB2312" w:hAnsi="宋体" w:eastAsia="仿宋_GB2312" w:cs="宋体"/>
                <w:sz w:val="32"/>
                <w:szCs w:val="32"/>
                <w:lang w:eastAsia="zh-CN"/>
              </w:rPr>
              <w:t>待定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1017" w:type="dxa"/>
            <w:vMerge w:val="restart"/>
          </w:tcPr>
          <w:p>
            <w:pPr>
              <w:pStyle w:val="22"/>
              <w:rPr>
                <w:sz w:val="28"/>
              </w:rPr>
            </w:pPr>
          </w:p>
          <w:p>
            <w:pPr>
              <w:pStyle w:val="22"/>
              <w:rPr>
                <w:sz w:val="28"/>
              </w:rPr>
            </w:pPr>
          </w:p>
          <w:p>
            <w:pPr>
              <w:pStyle w:val="22"/>
              <w:rPr>
                <w:sz w:val="28"/>
              </w:rPr>
            </w:pPr>
          </w:p>
          <w:p>
            <w:pPr>
              <w:pStyle w:val="22"/>
              <w:rPr>
                <w:sz w:val="28"/>
              </w:rPr>
            </w:pPr>
          </w:p>
          <w:p>
            <w:pPr>
              <w:pStyle w:val="22"/>
              <w:rPr>
                <w:sz w:val="28"/>
              </w:rPr>
            </w:pPr>
          </w:p>
          <w:p>
            <w:pPr>
              <w:pStyle w:val="22"/>
              <w:rPr>
                <w:sz w:val="28"/>
              </w:rPr>
            </w:pPr>
          </w:p>
          <w:p>
            <w:pPr>
              <w:pStyle w:val="22"/>
              <w:rPr>
                <w:sz w:val="28"/>
              </w:rPr>
            </w:pPr>
          </w:p>
          <w:p>
            <w:pPr>
              <w:pStyle w:val="22"/>
              <w:rPr>
                <w:sz w:val="28"/>
              </w:rPr>
            </w:pPr>
          </w:p>
          <w:p>
            <w:pPr>
              <w:pStyle w:val="22"/>
              <w:spacing w:before="1"/>
              <w:rPr>
                <w:sz w:val="30"/>
              </w:rPr>
            </w:pPr>
          </w:p>
          <w:p>
            <w:pPr>
              <w:pStyle w:val="22"/>
              <w:spacing w:line="417" w:lineRule="auto"/>
              <w:ind w:left="367" w:right="356"/>
              <w:jc w:val="both"/>
              <w:rPr>
                <w:b/>
                <w:sz w:val="28"/>
              </w:rPr>
            </w:pPr>
            <w:r>
              <w:rPr>
                <w:b/>
                <w:sz w:val="28"/>
              </w:rPr>
              <w:t>采购需求</w:t>
            </w:r>
          </w:p>
        </w:tc>
        <w:tc>
          <w:tcPr>
            <w:tcW w:w="1018" w:type="dxa"/>
          </w:tcPr>
          <w:p>
            <w:pPr>
              <w:pStyle w:val="22"/>
              <w:rPr>
                <w:sz w:val="28"/>
              </w:rPr>
            </w:pPr>
          </w:p>
          <w:p>
            <w:pPr>
              <w:pStyle w:val="22"/>
              <w:rPr>
                <w:sz w:val="28"/>
              </w:rPr>
            </w:pPr>
          </w:p>
          <w:p>
            <w:pPr>
              <w:pStyle w:val="22"/>
              <w:rPr>
                <w:sz w:val="28"/>
              </w:rPr>
            </w:pPr>
          </w:p>
          <w:p>
            <w:pPr>
              <w:pStyle w:val="22"/>
              <w:rPr>
                <w:sz w:val="28"/>
              </w:rPr>
            </w:pPr>
          </w:p>
          <w:p>
            <w:pPr>
              <w:pStyle w:val="22"/>
              <w:spacing w:before="239" w:line="417" w:lineRule="auto"/>
              <w:ind w:left="226" w:right="217"/>
              <w:rPr>
                <w:b/>
                <w:sz w:val="28"/>
              </w:rPr>
            </w:pPr>
            <w:r>
              <w:rPr>
                <w:b/>
                <w:sz w:val="28"/>
              </w:rPr>
              <w:t>技术部分</w:t>
            </w:r>
          </w:p>
        </w:tc>
        <w:tc>
          <w:tcPr>
            <w:tcW w:w="8072" w:type="dxa"/>
          </w:tcPr>
          <w:p>
            <w:pPr>
              <w:numPr>
                <w:ilvl w:val="0"/>
                <w:numId w:val="1"/>
              </w:numPr>
              <w:spacing w:line="560" w:lineRule="exact"/>
              <w:rPr>
                <w:rFonts w:hint="eastAsia" w:ascii="仿宋" w:hAnsi="仿宋" w:eastAsia="仿宋" w:cs="仿宋"/>
                <w:bCs/>
                <w:sz w:val="21"/>
                <w:szCs w:val="21"/>
              </w:rPr>
            </w:pPr>
            <w:r>
              <w:rPr>
                <w:rFonts w:hint="eastAsia" w:ascii="仿宋_GB2312" w:hAnsi="宋体" w:eastAsia="仿宋_GB2312" w:cs="宋体"/>
                <w:b/>
                <w:sz w:val="32"/>
                <w:szCs w:val="32"/>
                <w:lang w:val="en-US"/>
              </w:rPr>
              <w:t>服务内容</w:t>
            </w:r>
            <w:r>
              <w:rPr>
                <w:rFonts w:hint="eastAsia" w:ascii="仿宋_GB2312" w:hAnsi="宋体" w:eastAsia="仿宋_GB2312" w:cs="宋体"/>
                <w:b/>
                <w:sz w:val="32"/>
                <w:szCs w:val="32"/>
                <w:lang w:val="en-US" w:eastAsia="zh-CN"/>
              </w:rPr>
              <w:t>:</w:t>
            </w:r>
            <w:r>
              <w:rPr>
                <w:rFonts w:hint="eastAsia" w:ascii="仿宋" w:hAnsi="仿宋" w:eastAsia="仿宋" w:cs="仿宋"/>
                <w:b w:val="0"/>
                <w:bCs/>
                <w:sz w:val="21"/>
                <w:szCs w:val="21"/>
                <w:lang w:val="en-US" w:eastAsia="zh-CN"/>
              </w:rPr>
              <w:t>柠溪院区5号楼有6台</w:t>
            </w:r>
            <w:r>
              <w:rPr>
                <w:rFonts w:hint="eastAsia" w:ascii="仿宋" w:hAnsi="仿宋" w:eastAsia="仿宋" w:cs="仿宋"/>
                <w:bCs/>
                <w:sz w:val="21"/>
                <w:szCs w:val="21"/>
              </w:rPr>
              <w:t>曳引式电梯</w:t>
            </w:r>
            <w:r>
              <w:rPr>
                <w:rFonts w:hint="eastAsia" w:cs="仿宋"/>
                <w:bCs/>
                <w:sz w:val="21"/>
                <w:szCs w:val="21"/>
                <w:lang w:val="en-US" w:eastAsia="zh-CN"/>
              </w:rPr>
              <w:t>及4台扶梯电梯共计10台电梯</w:t>
            </w:r>
            <w:r>
              <w:rPr>
                <w:rFonts w:hint="eastAsia" w:ascii="仿宋" w:hAnsi="仿宋" w:eastAsia="仿宋" w:cs="仿宋"/>
                <w:bCs/>
                <w:sz w:val="21"/>
                <w:szCs w:val="21"/>
              </w:rPr>
              <w:t>，</w:t>
            </w:r>
            <w:r>
              <w:rPr>
                <w:rFonts w:hint="eastAsia" w:cs="仿宋"/>
                <w:bCs/>
                <w:sz w:val="21"/>
                <w:szCs w:val="21"/>
                <w:lang w:eastAsia="zh-CN"/>
              </w:rPr>
              <w:t>其中</w:t>
            </w:r>
            <w:r>
              <w:rPr>
                <w:rFonts w:hint="eastAsia" w:ascii="仿宋" w:hAnsi="仿宋" w:eastAsia="仿宋" w:cs="仿宋"/>
                <w:b w:val="0"/>
                <w:bCs/>
                <w:sz w:val="21"/>
                <w:szCs w:val="21"/>
                <w:lang w:val="en-US" w:eastAsia="zh-CN"/>
              </w:rPr>
              <w:t>6台</w:t>
            </w:r>
            <w:r>
              <w:rPr>
                <w:rFonts w:hint="eastAsia" w:ascii="仿宋" w:hAnsi="仿宋" w:eastAsia="仿宋" w:cs="仿宋"/>
                <w:bCs/>
                <w:sz w:val="21"/>
                <w:szCs w:val="21"/>
              </w:rPr>
              <w:t>曳引式电梯维保服务期</w:t>
            </w:r>
            <w:r>
              <w:rPr>
                <w:rFonts w:hint="eastAsia" w:cs="仿宋"/>
                <w:bCs/>
                <w:sz w:val="21"/>
                <w:szCs w:val="21"/>
                <w:lang w:eastAsia="zh-CN"/>
              </w:rPr>
              <w:t>将于</w:t>
            </w:r>
            <w:r>
              <w:rPr>
                <w:rFonts w:hint="eastAsia" w:cs="仿宋"/>
                <w:bCs/>
                <w:sz w:val="21"/>
                <w:szCs w:val="21"/>
                <w:lang w:val="en-US" w:eastAsia="zh-CN"/>
              </w:rPr>
              <w:t>2025年8月到期，4台扶梯</w:t>
            </w:r>
            <w:r>
              <w:rPr>
                <w:rFonts w:hint="eastAsia" w:ascii="仿宋" w:hAnsi="仿宋" w:eastAsia="仿宋" w:cs="仿宋"/>
                <w:bCs/>
                <w:sz w:val="21"/>
                <w:szCs w:val="21"/>
              </w:rPr>
              <w:t>维保服务期</w:t>
            </w:r>
            <w:r>
              <w:rPr>
                <w:rFonts w:hint="eastAsia" w:cs="仿宋"/>
                <w:bCs/>
                <w:sz w:val="21"/>
                <w:szCs w:val="21"/>
                <w:lang w:val="en-US" w:eastAsia="zh-CN"/>
              </w:rPr>
              <w:t>将于2026年10月到期</w:t>
            </w:r>
            <w:r>
              <w:rPr>
                <w:rFonts w:hint="eastAsia" w:ascii="仿宋" w:hAnsi="仿宋" w:eastAsia="仿宋" w:cs="仿宋"/>
                <w:bCs/>
                <w:sz w:val="21"/>
                <w:szCs w:val="21"/>
              </w:rPr>
              <w:t>，为保障电梯安全运行，需采购新的专业维保服务商进行定期、系统的维护、保养。</w:t>
            </w:r>
          </w:p>
          <w:p>
            <w:pPr>
              <w:pStyle w:val="2"/>
              <w:rPr>
                <w:rFonts w:hint="eastAsia"/>
              </w:rPr>
            </w:pPr>
          </w:p>
          <w:p>
            <w:pPr>
              <w:numPr>
                <w:ilvl w:val="0"/>
                <w:numId w:val="1"/>
              </w:numPr>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lang w:val="en-US"/>
              </w:rPr>
              <w:t>服务标准/要求：</w:t>
            </w:r>
          </w:p>
          <w:p>
            <w:pPr>
              <w:widowControl/>
              <w:autoSpaceDE w:val="0"/>
              <w:autoSpaceDN w:val="0"/>
              <w:adjustRightInd w:val="0"/>
              <w:spacing w:line="360" w:lineRule="auto"/>
              <w:ind w:firstLine="420" w:firstLineChars="200"/>
              <w:textAlignment w:val="baseline"/>
              <w:rPr>
                <w:rFonts w:hint="eastAsia" w:ascii="仿宋" w:hAnsi="仿宋" w:eastAsia="仿宋" w:cs="仿宋"/>
                <w:bCs/>
                <w:sz w:val="21"/>
                <w:szCs w:val="21"/>
              </w:rPr>
            </w:pPr>
          </w:p>
          <w:tbl>
            <w:tblPr>
              <w:tblStyle w:val="17"/>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128"/>
              <w:gridCol w:w="1609"/>
              <w:gridCol w:w="1220"/>
              <w:gridCol w:w="860"/>
              <w:gridCol w:w="533"/>
              <w:gridCol w:w="1071"/>
              <w:gridCol w:w="1473"/>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序号</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电梯品牌</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制造工号</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型号规格</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层/站/门</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台数</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电梯运行年份</w:t>
                  </w:r>
                </w:p>
              </w:tc>
              <w:tc>
                <w:tcPr>
                  <w:tcW w:w="0" w:type="auto"/>
                  <w:vAlign w:val="center"/>
                </w:tcPr>
                <w:p>
                  <w:pPr>
                    <w:pStyle w:val="19"/>
                    <w:jc w:val="center"/>
                    <w:rPr>
                      <w:rFonts w:hint="eastAsia" w:eastAsia="仿宋"/>
                      <w:vertAlign w:val="baseline"/>
                      <w:lang w:val="en-US" w:eastAsia="zh-CN"/>
                    </w:rPr>
                  </w:pPr>
                  <w:r>
                    <w:rPr>
                      <w:rFonts w:hint="eastAsia"/>
                      <w:vertAlign w:val="baseline"/>
                      <w:lang w:val="en-US" w:eastAsia="zh-CN"/>
                    </w:rPr>
                    <w:t>本项目维保开始日期</w:t>
                  </w:r>
                </w:p>
              </w:tc>
              <w:tc>
                <w:tcPr>
                  <w:tcW w:w="0" w:type="auto"/>
                  <w:vAlign w:val="center"/>
                </w:tcPr>
                <w:p>
                  <w:pPr>
                    <w:pStyle w:val="19"/>
                    <w:jc w:val="center"/>
                    <w:rPr>
                      <w:rFonts w:hint="eastAsia"/>
                      <w:vertAlign w:val="baseline"/>
                      <w:lang w:val="en-US" w:eastAsia="zh-CN"/>
                    </w:rPr>
                  </w:pPr>
                  <w:r>
                    <w:rPr>
                      <w:rFonts w:hint="eastAsia"/>
                      <w:vertAlign w:val="baseline"/>
                      <w:lang w:val="en-US" w:eastAsia="zh-CN"/>
                    </w:rPr>
                    <w:t>电梯类型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1</w:t>
                  </w:r>
                </w:p>
              </w:tc>
              <w:tc>
                <w:tcPr>
                  <w:tcW w:w="0" w:type="auto"/>
                  <w:shd w:val="clear" w:color="auto" w:fill="auto"/>
                  <w:vAlign w:val="center"/>
                </w:tcPr>
                <w:p>
                  <w:pPr>
                    <w:tabs>
                      <w:tab w:val="left" w:pos="6828"/>
                      <w:tab w:val="left" w:pos="9283"/>
                    </w:tabs>
                    <w:spacing w:line="320" w:lineRule="exact"/>
                    <w:ind w:firstLine="110" w:firstLineChars="50"/>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HITACHI</w:t>
                  </w:r>
                </w:p>
              </w:tc>
              <w:tc>
                <w:tcPr>
                  <w:tcW w:w="0" w:type="auto"/>
                  <w:shd w:val="clear" w:color="auto" w:fill="auto"/>
                  <w:vAlign w:val="center"/>
                </w:tcPr>
                <w:p>
                  <w:pPr>
                    <w:tabs>
                      <w:tab w:val="left" w:pos="6828"/>
                      <w:tab w:val="left" w:pos="9283"/>
                    </w:tabs>
                    <w:spacing w:line="32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05电08828~30</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Ansi="宋体"/>
                      <w:shd w:val="clear" w:color="auto" w:fill="FFFFFF" w:themeFill="background1"/>
                    </w:rPr>
                    <w:t>NPH</w:t>
                  </w:r>
                  <w:r>
                    <w:rPr>
                      <w:rFonts w:hint="eastAsia" w:hAnsi="宋体"/>
                      <w:shd w:val="clear" w:color="auto" w:fill="FFFFFF" w:themeFill="background1"/>
                    </w:rPr>
                    <w:t>-B1600-2S90</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12/12</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3</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2007年启用</w:t>
                  </w:r>
                </w:p>
              </w:tc>
              <w:tc>
                <w:tcPr>
                  <w:tcW w:w="0" w:type="auto"/>
                  <w:vAlign w:val="center"/>
                </w:tcPr>
                <w:p>
                  <w:pPr>
                    <w:pStyle w:val="19"/>
                    <w:jc w:val="center"/>
                    <w:rPr>
                      <w:rFonts w:hint="default"/>
                      <w:vertAlign w:val="baseline"/>
                      <w:lang w:val="en-US" w:eastAsia="zh-CN"/>
                    </w:rPr>
                  </w:pPr>
                  <w:r>
                    <w:rPr>
                      <w:rFonts w:hint="eastAsia"/>
                      <w:vertAlign w:val="baseline"/>
                      <w:lang w:val="en-US" w:eastAsia="zh-CN"/>
                    </w:rPr>
                    <w:t>合同签订之日起2年</w:t>
                  </w:r>
                </w:p>
              </w:tc>
              <w:tc>
                <w:tcPr>
                  <w:tcW w:w="0" w:type="auto"/>
                  <w:vAlign w:val="center"/>
                </w:tcPr>
                <w:p>
                  <w:pPr>
                    <w:pStyle w:val="19"/>
                    <w:jc w:val="center"/>
                    <w:rPr>
                      <w:rFonts w:hint="eastAsia"/>
                      <w:vertAlign w:val="baseline"/>
                      <w:lang w:val="en-US" w:eastAsia="zh-CN"/>
                    </w:rPr>
                  </w:pPr>
                  <w:r>
                    <w:rPr>
                      <w:rFonts w:hint="eastAsia" w:ascii="仿宋" w:hAnsi="仿宋" w:eastAsia="仿宋" w:cs="仿宋"/>
                      <w:bCs/>
                      <w:sz w:val="21"/>
                      <w:szCs w:val="21"/>
                    </w:rPr>
                    <w:t>曳引式电梯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2</w:t>
                  </w:r>
                </w:p>
              </w:tc>
              <w:tc>
                <w:tcPr>
                  <w:tcW w:w="0" w:type="auto"/>
                  <w:shd w:val="clear" w:color="auto" w:fill="auto"/>
                  <w:vAlign w:val="center"/>
                </w:tcPr>
                <w:p>
                  <w:pPr>
                    <w:tabs>
                      <w:tab w:val="left" w:pos="6828"/>
                      <w:tab w:val="left" w:pos="9283"/>
                    </w:tabs>
                    <w:spacing w:line="320" w:lineRule="exact"/>
                    <w:ind w:firstLine="110" w:firstLineChars="50"/>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HITACHI</w:t>
                  </w:r>
                </w:p>
              </w:tc>
              <w:tc>
                <w:tcPr>
                  <w:tcW w:w="0" w:type="auto"/>
                  <w:shd w:val="clear" w:color="auto" w:fill="auto"/>
                  <w:vAlign w:val="center"/>
                </w:tcPr>
                <w:p>
                  <w:pPr>
                    <w:tabs>
                      <w:tab w:val="left" w:pos="6828"/>
                      <w:tab w:val="left" w:pos="9283"/>
                    </w:tabs>
                    <w:spacing w:line="32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05电08831</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Ansi="宋体"/>
                      <w:shd w:val="clear" w:color="auto" w:fill="FFFFFF" w:themeFill="background1"/>
                    </w:rPr>
                    <w:t>NPH</w:t>
                  </w:r>
                  <w:r>
                    <w:rPr>
                      <w:rFonts w:hint="eastAsia" w:hAnsi="宋体"/>
                      <w:shd w:val="clear" w:color="auto" w:fill="FFFFFF" w:themeFill="background1"/>
                    </w:rPr>
                    <w:t>-B1600-2S90</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13/13</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1</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2007年启用</w:t>
                  </w:r>
                </w:p>
              </w:tc>
              <w:tc>
                <w:tcPr>
                  <w:tcW w:w="0" w:type="auto"/>
                  <w:vAlign w:val="center"/>
                </w:tcPr>
                <w:p>
                  <w:pPr>
                    <w:pStyle w:val="19"/>
                    <w:jc w:val="center"/>
                    <w:rPr>
                      <w:rFonts w:hint="eastAsia"/>
                      <w:vertAlign w:val="baseline"/>
                      <w:lang w:val="en-US" w:eastAsia="zh-CN"/>
                    </w:rPr>
                  </w:pPr>
                  <w:r>
                    <w:rPr>
                      <w:rFonts w:hint="eastAsia"/>
                      <w:vertAlign w:val="baseline"/>
                      <w:lang w:val="en-US" w:eastAsia="zh-CN"/>
                    </w:rPr>
                    <w:t>合同签订之日起2年</w:t>
                  </w:r>
                </w:p>
              </w:tc>
              <w:tc>
                <w:tcPr>
                  <w:tcW w:w="0" w:type="auto"/>
                  <w:vAlign w:val="center"/>
                </w:tcPr>
                <w:p>
                  <w:pPr>
                    <w:pStyle w:val="19"/>
                    <w:jc w:val="center"/>
                    <w:rPr>
                      <w:rFonts w:hint="eastAsia"/>
                      <w:vertAlign w:val="baseline"/>
                      <w:lang w:val="en-US" w:eastAsia="zh-CN"/>
                    </w:rPr>
                  </w:pPr>
                  <w:r>
                    <w:rPr>
                      <w:rFonts w:hint="eastAsia" w:ascii="仿宋" w:hAnsi="仿宋" w:eastAsia="仿宋" w:cs="仿宋"/>
                      <w:bCs/>
                      <w:sz w:val="21"/>
                      <w:szCs w:val="21"/>
                    </w:rPr>
                    <w:t>曳引式电梯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3</w:t>
                  </w:r>
                </w:p>
              </w:tc>
              <w:tc>
                <w:tcPr>
                  <w:tcW w:w="0" w:type="auto"/>
                  <w:shd w:val="clear" w:color="auto" w:fill="auto"/>
                  <w:vAlign w:val="center"/>
                </w:tcPr>
                <w:p>
                  <w:pPr>
                    <w:tabs>
                      <w:tab w:val="left" w:pos="6828"/>
                      <w:tab w:val="left" w:pos="9283"/>
                    </w:tabs>
                    <w:spacing w:line="320" w:lineRule="exact"/>
                    <w:ind w:firstLine="110" w:firstLineChars="50"/>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HITACHI</w:t>
                  </w:r>
                </w:p>
              </w:tc>
              <w:tc>
                <w:tcPr>
                  <w:tcW w:w="0" w:type="auto"/>
                  <w:shd w:val="clear" w:color="auto" w:fill="auto"/>
                  <w:vAlign w:val="center"/>
                </w:tcPr>
                <w:p>
                  <w:pPr>
                    <w:tabs>
                      <w:tab w:val="left" w:pos="6828"/>
                      <w:tab w:val="left" w:pos="9283"/>
                    </w:tabs>
                    <w:spacing w:line="32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05电08832</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Ansi="宋体"/>
                      <w:shd w:val="clear" w:color="auto" w:fill="FFFFFF" w:themeFill="background1"/>
                    </w:rPr>
                    <w:t>N</w:t>
                  </w:r>
                  <w:r>
                    <w:rPr>
                      <w:rFonts w:hint="eastAsia" w:hAnsi="宋体"/>
                      <w:shd w:val="clear" w:color="auto" w:fill="FFFFFF" w:themeFill="background1"/>
                    </w:rPr>
                    <w:t>F-1600-2S60</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13/13</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1</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2007年启用</w:t>
                  </w:r>
                </w:p>
              </w:tc>
              <w:tc>
                <w:tcPr>
                  <w:tcW w:w="0" w:type="auto"/>
                  <w:vAlign w:val="center"/>
                </w:tcPr>
                <w:p>
                  <w:pPr>
                    <w:pStyle w:val="19"/>
                    <w:jc w:val="center"/>
                    <w:rPr>
                      <w:rFonts w:hint="eastAsia"/>
                      <w:vertAlign w:val="baseline"/>
                      <w:lang w:val="en-US" w:eastAsia="zh-CN"/>
                    </w:rPr>
                  </w:pPr>
                  <w:r>
                    <w:rPr>
                      <w:rFonts w:hint="eastAsia"/>
                      <w:vertAlign w:val="baseline"/>
                      <w:lang w:val="en-US" w:eastAsia="zh-CN"/>
                    </w:rPr>
                    <w:t>合同签订之日起2年</w:t>
                  </w:r>
                </w:p>
              </w:tc>
              <w:tc>
                <w:tcPr>
                  <w:tcW w:w="0" w:type="auto"/>
                  <w:vAlign w:val="center"/>
                </w:tcPr>
                <w:p>
                  <w:pPr>
                    <w:pStyle w:val="19"/>
                    <w:jc w:val="center"/>
                    <w:rPr>
                      <w:rFonts w:hint="eastAsia"/>
                      <w:vertAlign w:val="baseline"/>
                      <w:lang w:val="en-US" w:eastAsia="zh-CN"/>
                    </w:rPr>
                  </w:pPr>
                  <w:r>
                    <w:rPr>
                      <w:rFonts w:hint="eastAsia" w:ascii="仿宋" w:hAnsi="仿宋" w:eastAsia="仿宋" w:cs="仿宋"/>
                      <w:bCs/>
                      <w:sz w:val="21"/>
                      <w:szCs w:val="21"/>
                    </w:rPr>
                    <w:t>曳引式电梯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4</w:t>
                  </w:r>
                </w:p>
              </w:tc>
              <w:tc>
                <w:tcPr>
                  <w:tcW w:w="0" w:type="auto"/>
                  <w:shd w:val="clear" w:color="auto" w:fill="auto"/>
                  <w:vAlign w:val="center"/>
                </w:tcPr>
                <w:p>
                  <w:pPr>
                    <w:tabs>
                      <w:tab w:val="left" w:pos="6828"/>
                      <w:tab w:val="left" w:pos="9283"/>
                    </w:tabs>
                    <w:spacing w:line="320" w:lineRule="exact"/>
                    <w:ind w:firstLine="110" w:firstLineChars="50"/>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HITACHI</w:t>
                  </w:r>
                </w:p>
              </w:tc>
              <w:tc>
                <w:tcPr>
                  <w:tcW w:w="0" w:type="auto"/>
                  <w:shd w:val="clear" w:color="auto" w:fill="auto"/>
                  <w:vAlign w:val="center"/>
                </w:tcPr>
                <w:p>
                  <w:pPr>
                    <w:tabs>
                      <w:tab w:val="left" w:pos="6828"/>
                      <w:tab w:val="left" w:pos="9283"/>
                    </w:tabs>
                    <w:spacing w:line="32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Ansi="宋体"/>
                      <w:shd w:val="clear" w:color="auto" w:fill="FFFFFF" w:themeFill="background1"/>
                    </w:rPr>
                    <w:t>12G522319</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HGP-01050-CO105</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12/12</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1</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2007年启用</w:t>
                  </w:r>
                </w:p>
              </w:tc>
              <w:tc>
                <w:tcPr>
                  <w:tcW w:w="0" w:type="auto"/>
                  <w:vAlign w:val="center"/>
                </w:tcPr>
                <w:p>
                  <w:pPr>
                    <w:pStyle w:val="19"/>
                    <w:jc w:val="center"/>
                    <w:rPr>
                      <w:rFonts w:hint="eastAsia"/>
                      <w:vertAlign w:val="baseline"/>
                      <w:lang w:val="en-US" w:eastAsia="zh-CN"/>
                    </w:rPr>
                  </w:pPr>
                  <w:r>
                    <w:rPr>
                      <w:rFonts w:hint="eastAsia"/>
                      <w:vertAlign w:val="baseline"/>
                      <w:lang w:val="en-US" w:eastAsia="zh-CN"/>
                    </w:rPr>
                    <w:t>合同签订之日起2年</w:t>
                  </w:r>
                </w:p>
              </w:tc>
              <w:tc>
                <w:tcPr>
                  <w:tcW w:w="0" w:type="auto"/>
                  <w:vAlign w:val="center"/>
                </w:tcPr>
                <w:p>
                  <w:pPr>
                    <w:pStyle w:val="19"/>
                    <w:jc w:val="center"/>
                    <w:rPr>
                      <w:rFonts w:hint="eastAsia"/>
                      <w:vertAlign w:val="baseline"/>
                      <w:lang w:val="en-US" w:eastAsia="zh-CN"/>
                    </w:rPr>
                  </w:pPr>
                  <w:r>
                    <w:rPr>
                      <w:rFonts w:hint="eastAsia" w:ascii="仿宋" w:hAnsi="仿宋" w:eastAsia="仿宋" w:cs="仿宋"/>
                      <w:bCs/>
                      <w:sz w:val="21"/>
                      <w:szCs w:val="21"/>
                    </w:rPr>
                    <w:t>曳引式电梯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5</w:t>
                  </w:r>
                </w:p>
              </w:tc>
              <w:tc>
                <w:tcPr>
                  <w:tcW w:w="0" w:type="auto"/>
                  <w:shd w:val="clear" w:color="auto" w:fill="auto"/>
                  <w:vAlign w:val="center"/>
                </w:tcPr>
                <w:p>
                  <w:pPr>
                    <w:tabs>
                      <w:tab w:val="left" w:pos="6828"/>
                      <w:tab w:val="left" w:pos="9283"/>
                    </w:tabs>
                    <w:spacing w:line="320" w:lineRule="exact"/>
                    <w:ind w:firstLine="110" w:firstLineChars="50"/>
                    <w:jc w:val="center"/>
                    <w:textAlignment w:val="baseline"/>
                    <w:rPr>
                      <w:rFonts w:hint="default" w:ascii="仿宋" w:hAnsi="宋体" w:eastAsia="仿宋" w:cs="仿宋"/>
                      <w:sz w:val="20"/>
                      <w:szCs w:val="22"/>
                      <w:shd w:val="clear" w:color="auto" w:fill="FFFFFF" w:themeFill="background1"/>
                      <w:lang w:val="en-US" w:eastAsia="zh-CN" w:bidi="zh-CN"/>
                    </w:rPr>
                  </w:pPr>
                  <w:r>
                    <w:rPr>
                      <w:rFonts w:hint="eastAsia" w:hAnsi="宋体"/>
                      <w:shd w:val="clear" w:color="auto" w:fill="FFFFFF" w:themeFill="background1"/>
                    </w:rPr>
                    <w:t>HITACHI</w:t>
                  </w:r>
                </w:p>
              </w:tc>
              <w:tc>
                <w:tcPr>
                  <w:tcW w:w="0" w:type="auto"/>
                  <w:shd w:val="clear" w:color="auto" w:fill="auto"/>
                  <w:vAlign w:val="center"/>
                </w:tcPr>
                <w:p>
                  <w:pPr>
                    <w:tabs>
                      <w:tab w:val="left" w:pos="6828"/>
                      <w:tab w:val="left" w:pos="9283"/>
                    </w:tabs>
                    <w:spacing w:line="320" w:lineRule="exact"/>
                    <w:jc w:val="center"/>
                    <w:textAlignment w:val="baseline"/>
                    <w:rPr>
                      <w:rFonts w:hint="default" w:ascii="仿宋" w:hAnsi="宋体" w:eastAsia="仿宋" w:cs="仿宋"/>
                      <w:sz w:val="22"/>
                      <w:szCs w:val="22"/>
                      <w:shd w:val="clear" w:color="auto" w:fill="FFFFFF" w:themeFill="background1"/>
                      <w:lang w:val="en-US" w:eastAsia="zh-CN" w:bidi="zh-CN"/>
                    </w:rPr>
                  </w:pPr>
                  <w:r>
                    <w:rPr>
                      <w:rFonts w:hAnsi="宋体"/>
                      <w:shd w:val="clear" w:color="auto" w:fill="FFFFFF" w:themeFill="background1"/>
                    </w:rPr>
                    <w:t>23R028908</w:t>
                  </w:r>
                  <w:r>
                    <w:rPr>
                      <w:rFonts w:hint="eastAsia" w:hAnsi="宋体"/>
                      <w:shd w:val="clear" w:color="auto" w:fill="FFFFFF" w:themeFill="background1"/>
                    </w:rPr>
                    <w:t>-</w:t>
                  </w:r>
                  <w:r>
                    <w:t xml:space="preserve"> </w:t>
                  </w:r>
                  <w:r>
                    <w:rPr>
                      <w:rFonts w:hAnsi="宋体"/>
                      <w:shd w:val="clear" w:color="auto" w:fill="FFFFFF" w:themeFill="background1"/>
                    </w:rPr>
                    <w:t>23R028911</w:t>
                  </w:r>
                </w:p>
              </w:tc>
              <w:tc>
                <w:tcPr>
                  <w:tcW w:w="0" w:type="auto"/>
                  <w:shd w:val="clear" w:color="auto" w:fill="auto"/>
                  <w:vAlign w:val="center"/>
                </w:tcPr>
                <w:p>
                  <w:pPr>
                    <w:tabs>
                      <w:tab w:val="left" w:pos="6828"/>
                      <w:tab w:val="left" w:pos="9283"/>
                    </w:tabs>
                    <w:spacing w:line="440" w:lineRule="exact"/>
                    <w:jc w:val="center"/>
                    <w:textAlignment w:val="baseline"/>
                    <w:rPr>
                      <w:rFonts w:hint="default" w:ascii="仿宋" w:hAnsi="宋体" w:eastAsia="仿宋" w:cs="仿宋"/>
                      <w:sz w:val="22"/>
                      <w:szCs w:val="22"/>
                      <w:shd w:val="clear" w:color="auto" w:fill="FFFFFF" w:themeFill="background1"/>
                      <w:lang w:val="en-US" w:eastAsia="zh-CN" w:bidi="zh-CN"/>
                    </w:rPr>
                  </w:pPr>
                  <w:r>
                    <w:rPr>
                      <w:rFonts w:hAnsi="宋体"/>
                      <w:shd w:val="clear" w:color="auto" w:fill="FFFFFF" w:themeFill="background1"/>
                    </w:rPr>
                    <w:t>1200TX-EN</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4</w:t>
                  </w:r>
                </w:p>
              </w:tc>
              <w:tc>
                <w:tcPr>
                  <w:tcW w:w="0" w:type="auto"/>
                  <w:vAlign w:val="center"/>
                </w:tcPr>
                <w:p>
                  <w:pPr>
                    <w:pStyle w:val="19"/>
                    <w:jc w:val="center"/>
                    <w:rPr>
                      <w:rFonts w:hint="default" w:eastAsia="仿宋"/>
                      <w:vertAlign w:val="baseline"/>
                      <w:lang w:val="en-US" w:eastAsia="zh-CN"/>
                    </w:rPr>
                  </w:pPr>
                  <w:r>
                    <w:rPr>
                      <w:rFonts w:hint="eastAsia"/>
                      <w:vertAlign w:val="baseline"/>
                      <w:lang w:val="en-US" w:eastAsia="zh-CN"/>
                    </w:rPr>
                    <w:t>2023年11月启用</w:t>
                  </w:r>
                </w:p>
              </w:tc>
              <w:tc>
                <w:tcPr>
                  <w:tcW w:w="0" w:type="auto"/>
                  <w:vAlign w:val="center"/>
                </w:tcPr>
                <w:p>
                  <w:pPr>
                    <w:pStyle w:val="19"/>
                    <w:jc w:val="center"/>
                    <w:rPr>
                      <w:rFonts w:hint="default"/>
                      <w:vertAlign w:val="baseline"/>
                      <w:lang w:val="en-US" w:eastAsia="zh-CN"/>
                    </w:rPr>
                  </w:pPr>
                  <w:r>
                    <w:rPr>
                      <w:rFonts w:hint="eastAsia"/>
                      <w:vertAlign w:val="baseline"/>
                      <w:lang w:val="en-US" w:eastAsia="zh-CN"/>
                    </w:rPr>
                    <w:t>2026年10月23日起至合同结束</w:t>
                  </w:r>
                </w:p>
              </w:tc>
              <w:tc>
                <w:tcPr>
                  <w:tcW w:w="0" w:type="auto"/>
                  <w:vAlign w:val="center"/>
                </w:tcPr>
                <w:p>
                  <w:pPr>
                    <w:pStyle w:val="19"/>
                    <w:jc w:val="center"/>
                    <w:rPr>
                      <w:rFonts w:hint="eastAsia"/>
                      <w:vertAlign w:val="baseline"/>
                      <w:lang w:val="en-US" w:eastAsia="zh-CN"/>
                    </w:rPr>
                  </w:pPr>
                  <w:r>
                    <w:rPr>
                      <w:rFonts w:hint="eastAsia" w:cs="仿宋"/>
                      <w:bCs/>
                      <w:sz w:val="21"/>
                      <w:szCs w:val="21"/>
                      <w:lang w:val="en-US" w:eastAsia="zh-CN"/>
                    </w:rPr>
                    <w:t>扶梯</w:t>
                  </w:r>
                </w:p>
              </w:tc>
            </w:tr>
          </w:tbl>
          <w:p>
            <w:pPr>
              <w:spacing w:line="360" w:lineRule="auto"/>
              <w:ind w:firstLine="420" w:firstLineChars="200"/>
              <w:rPr>
                <w:rFonts w:hint="eastAsia" w:hAnsi="宋体"/>
                <w:bCs/>
                <w:sz w:val="21"/>
                <w:szCs w:val="21"/>
              </w:rPr>
            </w:pPr>
          </w:p>
          <w:p>
            <w:pPr>
              <w:spacing w:line="360" w:lineRule="auto"/>
              <w:ind w:firstLine="420" w:firstLineChars="200"/>
              <w:rPr>
                <w:rFonts w:hAnsi="宋体"/>
                <w:bCs/>
                <w:sz w:val="21"/>
                <w:szCs w:val="21"/>
              </w:rPr>
            </w:pPr>
            <w:r>
              <w:rPr>
                <w:rFonts w:hint="eastAsia" w:hAnsi="宋体"/>
                <w:bCs/>
                <w:sz w:val="21"/>
                <w:szCs w:val="21"/>
              </w:rPr>
              <w:t>1.服务期内，中标人须每月对电梯进行月度保养二次，至少每15个日历日对电梯进行一次清洁、润滑、调整和检查，并按照《电梯维护保养规则》的要求开展半月、季度、半年和年度维护保养，记录每次维保情况并由采购人管理部门签字确认，保养任务完成情况以保养单为准，并建立电梯维护、保养档案，备查（合同期结束后，档案归采购人所有）。</w:t>
            </w:r>
          </w:p>
          <w:p>
            <w:pPr>
              <w:spacing w:line="360" w:lineRule="auto"/>
              <w:ind w:firstLine="420" w:firstLineChars="200"/>
              <w:rPr>
                <w:rFonts w:hAnsi="宋体"/>
                <w:bCs/>
                <w:sz w:val="21"/>
                <w:szCs w:val="21"/>
              </w:rPr>
            </w:pPr>
            <w:r>
              <w:rPr>
                <w:rFonts w:hint="eastAsia" w:hAnsi="宋体"/>
                <w:bCs/>
                <w:sz w:val="21"/>
                <w:szCs w:val="21"/>
              </w:rPr>
              <w:t>2.至少每6个月对维保的电梯进行一次检测，检测项目不得少于《电梯维护保养规则》关于年度维保和电梯定期检验检测规定的项目及其内容，并向采购人管理部门出具检测报告。</w:t>
            </w:r>
          </w:p>
          <w:p>
            <w:pPr>
              <w:spacing w:line="360" w:lineRule="auto"/>
              <w:ind w:firstLine="420" w:firstLineChars="200"/>
              <w:rPr>
                <w:rFonts w:hAnsi="宋体"/>
                <w:bCs/>
                <w:sz w:val="21"/>
                <w:szCs w:val="21"/>
              </w:rPr>
            </w:pPr>
            <w:r>
              <w:rPr>
                <w:rFonts w:hint="eastAsia" w:hAnsi="宋体"/>
                <w:bCs/>
                <w:sz w:val="21"/>
                <w:szCs w:val="21"/>
              </w:rPr>
              <w:t>3.在维保过程发现电/扶梯配件损坏或达到使用期限需要更换，应及时书面报告采购人，经采购人确认后由中标人提供维修更换服务。</w:t>
            </w:r>
            <w:r>
              <w:rPr>
                <w:rFonts w:hint="eastAsia" w:hAnsi="宋体"/>
                <w:bCs/>
                <w:sz w:val="21"/>
                <w:szCs w:val="21"/>
                <w:lang w:val="en-US" w:eastAsia="zh-CN"/>
              </w:rPr>
              <w:t>单个</w:t>
            </w:r>
            <w:r>
              <w:rPr>
                <w:rFonts w:hint="eastAsia" w:hAnsi="宋体"/>
                <w:bCs/>
                <w:sz w:val="21"/>
                <w:szCs w:val="21"/>
              </w:rPr>
              <w:t>配件</w:t>
            </w:r>
            <w:r>
              <w:rPr>
                <w:rFonts w:hAnsi="宋体"/>
                <w:bCs/>
                <w:sz w:val="21"/>
                <w:szCs w:val="21"/>
              </w:rPr>
              <w:t>价格</w:t>
            </w:r>
            <w:r>
              <w:rPr>
                <w:rFonts w:hint="eastAsia" w:hAnsi="宋体"/>
                <w:bCs/>
                <w:sz w:val="21"/>
                <w:szCs w:val="21"/>
              </w:rPr>
              <w:t>≤500元，配件费由中标人承担。</w:t>
            </w:r>
            <w:r>
              <w:rPr>
                <w:rFonts w:hint="eastAsia" w:hAnsi="宋体"/>
                <w:bCs/>
                <w:sz w:val="21"/>
                <w:szCs w:val="21"/>
                <w:lang w:val="en-US" w:eastAsia="zh-CN"/>
              </w:rPr>
              <w:t>单个</w:t>
            </w:r>
            <w:r>
              <w:rPr>
                <w:rFonts w:hint="eastAsia" w:hAnsi="宋体"/>
                <w:bCs/>
                <w:sz w:val="21"/>
                <w:szCs w:val="21"/>
              </w:rPr>
              <w:t>配件</w:t>
            </w:r>
            <w:r>
              <w:rPr>
                <w:rFonts w:hAnsi="宋体"/>
                <w:bCs/>
                <w:sz w:val="21"/>
                <w:szCs w:val="21"/>
              </w:rPr>
              <w:t>价格</w:t>
            </w:r>
            <w:r>
              <w:rPr>
                <w:rFonts w:hint="eastAsia" w:hAnsi="宋体"/>
                <w:bCs/>
                <w:sz w:val="21"/>
                <w:szCs w:val="21"/>
              </w:rPr>
              <w:t>＞500元或由外力、人为及不可抗力因素损坏的电/扶梯配件，配件费由采购人承担，且配件价格不得高于市场价</w:t>
            </w:r>
            <w:r>
              <w:rPr>
                <w:rFonts w:hint="eastAsia" w:hAnsi="宋体"/>
                <w:bCs/>
                <w:sz w:val="21"/>
                <w:szCs w:val="21"/>
                <w:lang w:eastAsia="zh-CN"/>
              </w:rPr>
              <w:t>，</w:t>
            </w:r>
            <w:r>
              <w:rPr>
                <w:rFonts w:hint="eastAsia" w:hAnsi="宋体"/>
                <w:bCs/>
                <w:color w:val="auto"/>
                <w:sz w:val="21"/>
                <w:szCs w:val="21"/>
                <w:lang w:eastAsia="zh-CN"/>
              </w:rPr>
              <w:t>中标人免人工费进行更换</w:t>
            </w:r>
            <w:r>
              <w:rPr>
                <w:rFonts w:hint="eastAsia" w:hAnsi="宋体"/>
                <w:bCs/>
                <w:color w:val="auto"/>
                <w:sz w:val="21"/>
                <w:szCs w:val="21"/>
              </w:rPr>
              <w:t>。</w:t>
            </w:r>
          </w:p>
          <w:p>
            <w:pPr>
              <w:spacing w:line="360" w:lineRule="auto"/>
              <w:ind w:firstLine="420" w:firstLineChars="200"/>
              <w:rPr>
                <w:rFonts w:hAnsi="宋体"/>
                <w:bCs/>
                <w:sz w:val="21"/>
                <w:szCs w:val="21"/>
              </w:rPr>
            </w:pPr>
            <w:r>
              <w:rPr>
                <w:rFonts w:hint="eastAsia" w:hAnsi="宋体"/>
                <w:bCs/>
                <w:sz w:val="21"/>
                <w:szCs w:val="21"/>
              </w:rPr>
              <w:t>4.中标人自行配备工作所需要的工具及设备、保养时设备现场设置警示标志等。</w:t>
            </w:r>
          </w:p>
          <w:p>
            <w:pPr>
              <w:spacing w:line="360" w:lineRule="auto"/>
              <w:ind w:firstLine="420" w:firstLineChars="200"/>
              <w:rPr>
                <w:rFonts w:hAnsi="宋体"/>
                <w:bCs/>
                <w:sz w:val="21"/>
                <w:szCs w:val="21"/>
              </w:rPr>
            </w:pPr>
            <w:r>
              <w:rPr>
                <w:rFonts w:hint="eastAsia" w:hAnsi="宋体"/>
                <w:bCs/>
                <w:sz w:val="21"/>
                <w:szCs w:val="21"/>
              </w:rPr>
              <w:t>5.在日常维保过程中发现电梯存在安全隐患的，应当及时向采购人管理部门出具《电梯隐患报告》，告知所发现的安全隐患情况以及建议采取的处理措施。若因中标人未能及时发现安全隐患导致发生事故，所有的责任由中标人全部承担，并终止其合同。</w:t>
            </w:r>
          </w:p>
          <w:p>
            <w:pPr>
              <w:spacing w:line="360" w:lineRule="auto"/>
              <w:ind w:firstLine="420" w:firstLineChars="200"/>
              <w:rPr>
                <w:rFonts w:hAnsi="宋体"/>
                <w:bCs/>
                <w:sz w:val="21"/>
                <w:szCs w:val="21"/>
              </w:rPr>
            </w:pPr>
            <w:r>
              <w:rPr>
                <w:rFonts w:hint="eastAsia" w:hAnsi="宋体"/>
                <w:bCs/>
                <w:sz w:val="21"/>
                <w:szCs w:val="21"/>
              </w:rPr>
              <w:t>6.中标人必须严格执行国家特种设备有关安全作业标准，在确保人身及电梯设备安全前提下方可作业，在维护保养电梯时，因人为造成电梯故障和部件损坏的或人员伤亡的，造成一切经济损失的，一切责任后果由中标人全部承担，并终止其合同。</w:t>
            </w:r>
          </w:p>
          <w:p>
            <w:pPr>
              <w:spacing w:line="360" w:lineRule="auto"/>
              <w:ind w:firstLine="422" w:firstLineChars="200"/>
              <w:rPr>
                <w:rFonts w:hAnsi="宋体"/>
                <w:bCs/>
                <w:sz w:val="21"/>
                <w:szCs w:val="21"/>
              </w:rPr>
            </w:pPr>
            <w:r>
              <w:rPr>
                <w:rFonts w:hint="eastAsia" w:hAnsi="宋体" w:cs="宋体"/>
                <w:b/>
                <w:kern w:val="2"/>
                <w:sz w:val="21"/>
                <w:szCs w:val="21"/>
              </w:rPr>
              <w:t>★</w:t>
            </w:r>
            <w:r>
              <w:rPr>
                <w:rFonts w:hint="eastAsia" w:hAnsi="宋体"/>
                <w:bCs/>
                <w:sz w:val="21"/>
                <w:szCs w:val="21"/>
              </w:rPr>
              <w:t>7.中标人必须在合同期内为采购人所有电梯购买公众责任险，每台电梯责任保险每人保险额度不得低于100万元，费用由中标人承担。</w:t>
            </w:r>
            <w:r>
              <w:rPr>
                <w:rFonts w:hint="eastAsia"/>
                <w:sz w:val="21"/>
                <w:szCs w:val="21"/>
              </w:rPr>
              <w:t>（投标文件中需提供承诺函加盖投标人公章，承诺函格式自拟）</w:t>
            </w:r>
          </w:p>
          <w:p>
            <w:pPr>
              <w:spacing w:line="360" w:lineRule="auto"/>
              <w:ind w:firstLine="420" w:firstLineChars="200"/>
              <w:rPr>
                <w:rFonts w:hAnsi="宋体"/>
                <w:bCs/>
                <w:sz w:val="21"/>
                <w:szCs w:val="21"/>
              </w:rPr>
            </w:pPr>
            <w:r>
              <w:rPr>
                <w:rFonts w:hint="eastAsia" w:hAnsi="宋体"/>
                <w:bCs/>
                <w:sz w:val="21"/>
                <w:szCs w:val="21"/>
              </w:rPr>
              <w:t>8.采购人有重大活动时，中标人需派专门维修技术人员到达现场，提供全程监护服务负责专梯运行安全。</w:t>
            </w:r>
          </w:p>
          <w:p>
            <w:pPr>
              <w:spacing w:line="360" w:lineRule="auto"/>
              <w:ind w:firstLine="420" w:firstLineChars="200"/>
              <w:rPr>
                <w:rFonts w:hAnsi="宋体"/>
                <w:bCs/>
                <w:sz w:val="21"/>
                <w:szCs w:val="21"/>
              </w:rPr>
            </w:pPr>
            <w:r>
              <w:rPr>
                <w:rFonts w:hint="eastAsia" w:hAnsi="宋体"/>
                <w:bCs/>
                <w:sz w:val="21"/>
                <w:szCs w:val="21"/>
              </w:rPr>
              <w:t>9.中标人每年不少于两次在医院指定的范围内开展面向公众电梯安全知识宣传，引导社会公众正确使用电梯。每年至少组织两次对承保电梯作业人员的安全教育并会同采购人的管理人员组织应急救援演练。</w:t>
            </w:r>
          </w:p>
          <w:p>
            <w:pPr>
              <w:spacing w:line="360" w:lineRule="auto"/>
              <w:ind w:firstLine="420" w:firstLineChars="200"/>
              <w:rPr>
                <w:rFonts w:hAnsi="宋体"/>
                <w:bCs/>
                <w:sz w:val="21"/>
                <w:szCs w:val="21"/>
              </w:rPr>
            </w:pPr>
            <w:r>
              <w:rPr>
                <w:rFonts w:hint="eastAsia" w:hAnsi="宋体"/>
                <w:bCs/>
                <w:sz w:val="21"/>
                <w:szCs w:val="21"/>
              </w:rPr>
              <w:t>10.中标人有义务协助配合采购人处理与电梯有关的其他事项。</w:t>
            </w:r>
          </w:p>
          <w:p>
            <w:pPr>
              <w:spacing w:line="360" w:lineRule="auto"/>
              <w:ind w:firstLine="420" w:firstLineChars="200"/>
              <w:rPr>
                <w:rFonts w:hAnsi="宋体"/>
                <w:bCs/>
                <w:sz w:val="21"/>
                <w:szCs w:val="21"/>
              </w:rPr>
            </w:pPr>
            <w:r>
              <w:rPr>
                <w:rFonts w:hint="eastAsia" w:hAnsi="宋体"/>
                <w:bCs/>
                <w:sz w:val="21"/>
                <w:szCs w:val="21"/>
              </w:rPr>
              <w:t>11.年检前提供一次电梯平衡系数检测及载荷测试、限速器检验（按特种设备监测检测所规定）、125%试验（按特种设备监测检测所规定），费用由中标人负责。中标人应积极配合采购人的电梯年检工作。因中标人原因引起的复检，中标人需及时整改，并承担复检费用。</w:t>
            </w:r>
          </w:p>
          <w:p>
            <w:pPr>
              <w:spacing w:line="360" w:lineRule="auto"/>
              <w:ind w:firstLine="422" w:firstLineChars="200"/>
              <w:rPr>
                <w:rFonts w:hAnsi="宋体"/>
                <w:bCs/>
                <w:sz w:val="21"/>
                <w:szCs w:val="21"/>
              </w:rPr>
            </w:pPr>
            <w:r>
              <w:rPr>
                <w:rFonts w:hint="eastAsia" w:hAnsi="宋体" w:cs="宋体"/>
                <w:b/>
                <w:kern w:val="2"/>
                <w:sz w:val="21"/>
                <w:szCs w:val="21"/>
              </w:rPr>
              <w:t>★</w:t>
            </w:r>
            <w:r>
              <w:rPr>
                <w:rFonts w:hint="eastAsia" w:hAnsi="宋体"/>
                <w:bCs/>
                <w:sz w:val="21"/>
                <w:szCs w:val="21"/>
              </w:rPr>
              <w:t>12.中标人负责全年维保、设备检修、进行大检及</w:t>
            </w:r>
            <w:r>
              <w:rPr>
                <w:rFonts w:hint="eastAsia" w:ascii="仿宋" w:hAnsi="宋体" w:eastAsia="仿宋" w:cs="仿宋"/>
                <w:bCs/>
                <w:kern w:val="0"/>
                <w:sz w:val="21"/>
                <w:szCs w:val="21"/>
                <w:lang w:eastAsia="zh-CN"/>
              </w:rPr>
              <w:t>按规定时间</w:t>
            </w:r>
            <w:r>
              <w:rPr>
                <w:rFonts w:hint="eastAsia" w:hAnsi="宋体"/>
                <w:bCs/>
                <w:sz w:val="21"/>
                <w:szCs w:val="21"/>
              </w:rPr>
              <w:t>申报“特种设备监测检测所”年度检验，并负责通过技监局的年度检验，取得检验合格证书。</w:t>
            </w:r>
          </w:p>
          <w:p>
            <w:pPr>
              <w:spacing w:line="360" w:lineRule="auto"/>
              <w:ind w:firstLine="422" w:firstLineChars="200"/>
              <w:rPr>
                <w:rFonts w:hAnsi="宋体"/>
                <w:bCs/>
                <w:sz w:val="21"/>
                <w:szCs w:val="21"/>
              </w:rPr>
            </w:pPr>
            <w:r>
              <w:rPr>
                <w:rFonts w:hint="eastAsia" w:hAnsi="宋体" w:cs="宋体"/>
                <w:b/>
                <w:kern w:val="2"/>
                <w:sz w:val="21"/>
                <w:szCs w:val="21"/>
              </w:rPr>
              <w:t>★</w:t>
            </w:r>
            <w:r>
              <w:rPr>
                <w:rFonts w:hint="eastAsia" w:hAnsi="宋体"/>
                <w:bCs/>
                <w:sz w:val="21"/>
                <w:szCs w:val="21"/>
              </w:rPr>
              <w:t>13.中标人必须根据采购人的电梯型号，备有足够保证</w:t>
            </w:r>
            <w:r>
              <w:rPr>
                <w:rFonts w:hint="eastAsia" w:hAnsi="宋体"/>
                <w:bCs/>
                <w:sz w:val="21"/>
                <w:szCs w:val="21"/>
                <w:lang w:val="en-US" w:eastAsia="zh-CN"/>
              </w:rPr>
              <w:t>10台</w:t>
            </w:r>
            <w:r>
              <w:rPr>
                <w:rFonts w:hint="eastAsia" w:hAnsi="宋体"/>
                <w:bCs/>
                <w:sz w:val="21"/>
                <w:szCs w:val="21"/>
              </w:rPr>
              <w:t>电梯使用的常用零配件。中标后需向采购人提供原厂备件进货清单（需有厂家盖章）及备件照片。</w:t>
            </w:r>
            <w:r>
              <w:rPr>
                <w:rFonts w:hint="eastAsia"/>
                <w:sz w:val="21"/>
                <w:szCs w:val="21"/>
              </w:rPr>
              <w:t>（投标文件中需提供承诺函加盖投标人公章，承诺函格式自拟）</w:t>
            </w:r>
          </w:p>
          <w:p>
            <w:pPr>
              <w:spacing w:line="360" w:lineRule="auto"/>
              <w:ind w:firstLine="420" w:firstLineChars="200"/>
              <w:rPr>
                <w:rFonts w:hAnsi="宋体"/>
                <w:bCs/>
                <w:sz w:val="21"/>
                <w:szCs w:val="21"/>
              </w:rPr>
            </w:pPr>
            <w:r>
              <w:rPr>
                <w:rFonts w:hint="eastAsia" w:hAnsi="宋体"/>
                <w:bCs/>
                <w:sz w:val="21"/>
                <w:szCs w:val="21"/>
              </w:rPr>
              <w:t>14.医院电梯根据使用情况会有大修、改造需求，要求中标人需有《中华人民共和国特种设备法》中要求的大修、改造资质。</w:t>
            </w:r>
          </w:p>
          <w:p>
            <w:pPr>
              <w:spacing w:line="360" w:lineRule="auto"/>
              <w:ind w:firstLine="420" w:firstLineChars="200"/>
              <w:rPr>
                <w:rFonts w:hAnsi="宋体"/>
                <w:bCs/>
                <w:sz w:val="21"/>
                <w:szCs w:val="21"/>
              </w:rPr>
            </w:pPr>
            <w:r>
              <w:rPr>
                <w:rFonts w:hint="eastAsia" w:hAnsi="宋体"/>
                <w:bCs/>
                <w:sz w:val="21"/>
                <w:szCs w:val="21"/>
              </w:rPr>
              <w:t>15.严格遵守国家的法律法规和医院的各项规章制度。执行质量技术监督局的相关要求，做好电梯维修保养工作。</w:t>
            </w:r>
          </w:p>
          <w:p>
            <w:pPr>
              <w:spacing w:line="360" w:lineRule="auto"/>
              <w:ind w:firstLine="420" w:firstLineChars="200"/>
            </w:pPr>
            <w:r>
              <w:rPr>
                <w:rFonts w:hint="eastAsia" w:hAnsi="宋体"/>
                <w:bCs/>
                <w:sz w:val="21"/>
                <w:szCs w:val="21"/>
              </w:rPr>
              <w:t>16.所有的维修零配件必须是原厂生产产品，必须有出厂检测报告，产品合格证，不能使用次品或伪劣产品。</w:t>
            </w:r>
          </w:p>
          <w:p>
            <w:pPr>
              <w:pStyle w:val="12"/>
              <w:rPr>
                <w:rFonts w:hint="default" w:eastAsia="仿宋"/>
                <w:lang w:val="en-US" w:eastAsia="zh-CN"/>
              </w:rPr>
            </w:pPr>
            <w:r>
              <w:rPr>
                <w:rFonts w:hint="eastAsia"/>
                <w:lang w:val="en-US" w:eastAsia="zh-CN"/>
              </w:rPr>
              <w:t xml:space="preserve">   </w:t>
            </w:r>
            <w:r>
              <w:rPr>
                <w:rFonts w:hint="eastAsia"/>
                <w:b/>
                <w:bCs/>
                <w:sz w:val="22"/>
                <w:szCs w:val="22"/>
                <w:lang w:val="en-US" w:eastAsia="zh-CN"/>
              </w:rPr>
              <w:t>人员要求：</w:t>
            </w:r>
          </w:p>
          <w:p>
            <w:pPr>
              <w:spacing w:line="360" w:lineRule="auto"/>
              <w:ind w:firstLine="420" w:firstLineChars="200"/>
              <w:rPr>
                <w:rFonts w:hAnsi="宋体"/>
                <w:bCs/>
                <w:sz w:val="21"/>
                <w:szCs w:val="21"/>
              </w:rPr>
            </w:pPr>
            <w:r>
              <w:rPr>
                <w:rFonts w:hint="eastAsia" w:hAnsi="宋体"/>
                <w:bCs/>
                <w:sz w:val="21"/>
                <w:szCs w:val="21"/>
                <w:lang w:val="en-US" w:eastAsia="zh-CN"/>
              </w:rPr>
              <w:t>1</w:t>
            </w:r>
            <w:r>
              <w:rPr>
                <w:rFonts w:hint="eastAsia" w:hAnsi="宋体"/>
                <w:bCs/>
                <w:sz w:val="21"/>
                <w:szCs w:val="21"/>
              </w:rPr>
              <w:t>.维保人员必须穿戴统一的工作服和工作牌，文明礼貌，维保电梯必须经过采购人电梯管理员同意后才能实施，维保电梯时要挂维修标志牌，并注明维保时间和内容。</w:t>
            </w:r>
          </w:p>
          <w:p>
            <w:pPr>
              <w:spacing w:line="360" w:lineRule="auto"/>
              <w:ind w:firstLine="420" w:firstLineChars="200"/>
              <w:rPr>
                <w:rFonts w:hAnsi="宋体"/>
                <w:bCs/>
                <w:sz w:val="21"/>
                <w:szCs w:val="21"/>
              </w:rPr>
            </w:pPr>
            <w:r>
              <w:rPr>
                <w:rFonts w:hint="eastAsia" w:hAnsi="宋体"/>
                <w:bCs/>
                <w:sz w:val="21"/>
                <w:szCs w:val="21"/>
                <w:lang w:val="en-US" w:eastAsia="zh-CN"/>
              </w:rPr>
              <w:t>2</w:t>
            </w:r>
            <w:r>
              <w:rPr>
                <w:rFonts w:hint="eastAsia" w:hAnsi="宋体"/>
                <w:bCs/>
                <w:sz w:val="21"/>
                <w:szCs w:val="21"/>
              </w:rPr>
              <w:t>.维保人员严格遵守国家的法律法规和医院的各项规章制度，执行质量技术监督局的相关要求，做好电梯维修保养工作。</w:t>
            </w:r>
          </w:p>
          <w:p>
            <w:pPr>
              <w:spacing w:line="360" w:lineRule="auto"/>
              <w:ind w:firstLine="420" w:firstLineChars="200"/>
              <w:rPr>
                <w:rFonts w:hint="eastAsia" w:hAnsi="宋体"/>
                <w:bCs/>
                <w:sz w:val="21"/>
                <w:szCs w:val="21"/>
              </w:rPr>
            </w:pPr>
            <w:r>
              <w:rPr>
                <w:rFonts w:hint="eastAsia" w:hAnsi="宋体"/>
                <w:bCs/>
                <w:sz w:val="21"/>
                <w:szCs w:val="21"/>
                <w:lang w:val="en-US" w:eastAsia="zh-CN"/>
              </w:rPr>
              <w:t>3</w:t>
            </w:r>
            <w:r>
              <w:rPr>
                <w:rFonts w:hint="eastAsia" w:hAnsi="宋体"/>
                <w:bCs/>
                <w:sz w:val="21"/>
                <w:szCs w:val="21"/>
              </w:rPr>
              <w:t>.所有作业人员须具备有效的《中华人民共和国特种设备安全管理和作业人员证》或原《中华人民共和国特种设备作业人员证》，特种设备作业人员资格认定分类与项目：种类：电梯作业。</w:t>
            </w:r>
          </w:p>
          <w:p>
            <w:pPr>
              <w:spacing w:line="360" w:lineRule="auto"/>
              <w:ind w:firstLine="442" w:firstLineChars="200"/>
              <w:rPr>
                <w:rFonts w:hint="eastAsia" w:hAnsi="宋体"/>
                <w:b/>
                <w:bCs w:val="0"/>
                <w:sz w:val="22"/>
                <w:szCs w:val="22"/>
                <w:lang w:val="en-US" w:eastAsia="zh-CN"/>
              </w:rPr>
            </w:pPr>
            <w:r>
              <w:rPr>
                <w:rFonts w:hint="eastAsia" w:hAnsi="宋体"/>
                <w:b/>
                <w:bCs w:val="0"/>
                <w:sz w:val="22"/>
                <w:szCs w:val="22"/>
                <w:lang w:val="en-US" w:eastAsia="zh-CN"/>
              </w:rPr>
              <w:t>服务质量标准：</w:t>
            </w:r>
          </w:p>
          <w:p>
            <w:pPr>
              <w:spacing w:line="360" w:lineRule="auto"/>
              <w:ind w:firstLine="420" w:firstLineChars="200"/>
              <w:rPr>
                <w:rFonts w:hAnsi="宋体" w:cs="宋体"/>
                <w:sz w:val="21"/>
                <w:szCs w:val="21"/>
              </w:rPr>
            </w:pPr>
            <w:r>
              <w:rPr>
                <w:rFonts w:hint="eastAsia" w:hAnsi="宋体" w:cs="宋体"/>
                <w:sz w:val="21"/>
                <w:szCs w:val="21"/>
              </w:rPr>
              <w:t>1.保证项目内电梯正常运作。</w:t>
            </w:r>
          </w:p>
          <w:p>
            <w:pPr>
              <w:spacing w:line="360" w:lineRule="auto"/>
              <w:ind w:firstLine="420" w:firstLineChars="200"/>
              <w:rPr>
                <w:rFonts w:hAnsi="宋体" w:cs="宋体"/>
                <w:sz w:val="21"/>
                <w:szCs w:val="21"/>
              </w:rPr>
            </w:pPr>
            <w:r>
              <w:rPr>
                <w:rFonts w:hint="eastAsia" w:hAnsi="宋体" w:cs="宋体"/>
                <w:sz w:val="21"/>
                <w:szCs w:val="21"/>
              </w:rPr>
              <w:t>2.全年维保、设备检修、进行大检及申报“特种设备监测检测所”年度检验，并负责通过技监局的年度检验，取得检验合格证书。</w:t>
            </w:r>
          </w:p>
          <w:p>
            <w:pPr>
              <w:spacing w:line="360" w:lineRule="auto"/>
              <w:ind w:firstLine="420" w:firstLineChars="200"/>
              <w:rPr>
                <w:rFonts w:hAnsi="宋体" w:cs="宋体"/>
                <w:sz w:val="21"/>
                <w:szCs w:val="21"/>
              </w:rPr>
            </w:pPr>
            <w:r>
              <w:rPr>
                <w:rFonts w:hint="eastAsia" w:hAnsi="宋体" w:cs="宋体"/>
                <w:sz w:val="21"/>
                <w:szCs w:val="21"/>
              </w:rPr>
              <w:t>3.实施日常维保的电梯应当符合《电梯维护保养规则》（TSG T5002—2017），电梯维修按《电梯维修规范》（GB/T18775）的相关规定。</w:t>
            </w:r>
          </w:p>
          <w:p>
            <w:pPr>
              <w:spacing w:line="360" w:lineRule="auto"/>
              <w:rPr>
                <w:rFonts w:hint="eastAsia" w:hAnsi="宋体" w:cs="宋体"/>
                <w:sz w:val="21"/>
                <w:szCs w:val="21"/>
              </w:rPr>
            </w:pPr>
            <w:r>
              <w:rPr>
                <w:rFonts w:hint="eastAsia" w:hAnsi="宋体" w:cs="宋体"/>
                <w:sz w:val="21"/>
                <w:szCs w:val="21"/>
              </w:rPr>
              <w:t>4.服务符合《广东省电梯使用安全条例》。</w:t>
            </w:r>
          </w:p>
          <w:p>
            <w:pPr>
              <w:spacing w:line="360" w:lineRule="auto"/>
              <w:ind w:firstLine="442" w:firstLineChars="200"/>
              <w:rPr>
                <w:rFonts w:hint="eastAsia" w:hAnsi="宋体"/>
                <w:b/>
                <w:sz w:val="22"/>
                <w:szCs w:val="22"/>
                <w:lang w:eastAsia="zh-CN"/>
              </w:rPr>
            </w:pPr>
            <w:r>
              <w:rPr>
                <w:rFonts w:hint="eastAsia" w:hAnsi="宋体"/>
                <w:b/>
                <w:sz w:val="22"/>
                <w:szCs w:val="22"/>
              </w:rPr>
              <w:t>质量保证及售后服务要求</w:t>
            </w:r>
            <w:r>
              <w:rPr>
                <w:rFonts w:hint="eastAsia" w:hAnsi="宋体"/>
                <w:b/>
                <w:sz w:val="22"/>
                <w:szCs w:val="22"/>
                <w:lang w:eastAsia="zh-CN"/>
              </w:rPr>
              <w:t>：</w:t>
            </w:r>
          </w:p>
          <w:p>
            <w:pPr>
              <w:spacing w:line="360" w:lineRule="auto"/>
              <w:ind w:firstLine="420" w:firstLineChars="200"/>
              <w:rPr>
                <w:rFonts w:hint="eastAsia" w:ascii="仿宋" w:hAnsi="仿宋" w:eastAsia="仿宋" w:cs="仿宋"/>
                <w:sz w:val="21"/>
                <w:szCs w:val="21"/>
              </w:rPr>
            </w:pPr>
            <w:r>
              <w:rPr>
                <w:rFonts w:hint="eastAsia" w:hAnsi="宋体" w:cs="宋体"/>
                <w:sz w:val="21"/>
                <w:szCs w:val="21"/>
              </w:rPr>
              <w:t>1.中标人提供</w:t>
            </w:r>
            <w:r>
              <w:rPr>
                <w:rFonts w:hint="eastAsia" w:hAnsi="宋体" w:cs="宋体"/>
                <w:sz w:val="21"/>
                <w:szCs w:val="21"/>
                <w:lang w:val="en-US" w:eastAsia="zh-CN"/>
              </w:rPr>
              <w:t>优良</w:t>
            </w:r>
            <w:r>
              <w:rPr>
                <w:rFonts w:hint="eastAsia" w:ascii="仿宋" w:hAnsi="仿宋" w:eastAsia="仿宋" w:cs="仿宋"/>
                <w:sz w:val="21"/>
                <w:szCs w:val="21"/>
              </w:rPr>
              <w:t>的服务和原厂</w:t>
            </w:r>
            <w:r>
              <w:rPr>
                <w:rFonts w:hint="eastAsia" w:ascii="仿宋" w:hAnsi="仿宋" w:eastAsia="仿宋" w:cs="仿宋"/>
                <w:kern w:val="0"/>
                <w:sz w:val="21"/>
                <w:szCs w:val="21"/>
                <w:lang w:val="en-US" w:eastAsia="zh-CN"/>
              </w:rPr>
              <w:t>优质</w:t>
            </w:r>
            <w:r>
              <w:rPr>
                <w:rFonts w:hint="eastAsia" w:ascii="仿宋" w:hAnsi="仿宋" w:eastAsia="仿宋" w:cs="仿宋"/>
                <w:sz w:val="21"/>
                <w:szCs w:val="21"/>
              </w:rPr>
              <w:t>配件，运用远程监控系统对电梯进行异地监控，保证电梯24小时处于有效管理状态，并提供24小时应急维修服务。</w:t>
            </w:r>
          </w:p>
          <w:p>
            <w:pPr>
              <w:spacing w:line="360" w:lineRule="auto"/>
              <w:ind w:firstLine="420" w:firstLineChars="200"/>
              <w:rPr>
                <w:rFonts w:hAnsi="宋体" w:cs="宋体"/>
                <w:sz w:val="21"/>
                <w:szCs w:val="21"/>
              </w:rPr>
            </w:pPr>
            <w:r>
              <w:rPr>
                <w:rFonts w:hint="eastAsia" w:ascii="仿宋" w:hAnsi="仿宋" w:eastAsia="仿宋" w:cs="仿宋"/>
                <w:sz w:val="21"/>
                <w:szCs w:val="21"/>
              </w:rPr>
              <w:t>2.</w:t>
            </w:r>
            <w:r>
              <w:rPr>
                <w:rFonts w:hint="eastAsia" w:ascii="仿宋" w:hAnsi="仿宋" w:eastAsia="仿宋" w:cs="仿宋"/>
                <w:kern w:val="0"/>
                <w:sz w:val="21"/>
                <w:szCs w:val="21"/>
                <w:lang w:val="en-US" w:eastAsia="zh-CN"/>
              </w:rPr>
              <w:t>任何时间段电梯一旦有一般故障发生，维保人员应在30分钟内赶到现场，及时处理电梯故障</w:t>
            </w:r>
            <w:r>
              <w:rPr>
                <w:rFonts w:hint="eastAsia" w:ascii="仿宋" w:hAnsi="仿宋" w:eastAsia="仿宋" w:cs="仿宋"/>
                <w:sz w:val="21"/>
                <w:szCs w:val="21"/>
              </w:rPr>
              <w:t>。修理完后</w:t>
            </w:r>
            <w:r>
              <w:rPr>
                <w:rFonts w:hint="eastAsia" w:hAnsi="宋体" w:cs="宋体"/>
                <w:sz w:val="21"/>
                <w:szCs w:val="21"/>
              </w:rPr>
              <w:t>填写《急修单》。如需更换零部件，需在急修单上注明，并由中标人指定人员核查签认。如遇深夜进行维修作业不便签证，应于次日办理上述相关手续。普通故障维修时间不超过2小时。</w:t>
            </w:r>
          </w:p>
          <w:p>
            <w:pPr>
              <w:spacing w:line="360" w:lineRule="auto"/>
              <w:ind w:firstLine="420" w:firstLineChars="200"/>
              <w:rPr>
                <w:rFonts w:hAnsi="宋体" w:cs="宋体"/>
                <w:sz w:val="21"/>
                <w:szCs w:val="21"/>
              </w:rPr>
            </w:pPr>
            <w:r>
              <w:rPr>
                <w:rFonts w:hint="eastAsia" w:hAnsi="宋体" w:cs="宋体"/>
                <w:sz w:val="21"/>
                <w:szCs w:val="21"/>
              </w:rPr>
              <w:t>3.特殊故障处理：发生特殊故障，维修人员短时间内无法解决的，维修人员应通知中标人或故障电梯原厂售后部门，由其另行派遣技术支持前来处理。如发生重大故障，中标人应立即启动应急预案组织人员进行抢修。抢修结束后填写《急修单》并查明和分析事故原因，提出书面改进意见。较大故障维修时间不超过48小时，重大故障维修时间不超过72小时，中标人需延长维修时间的，须向采购人提出申请同意后，可延长故障维修时间。</w:t>
            </w:r>
          </w:p>
          <w:p>
            <w:pPr>
              <w:spacing w:line="360" w:lineRule="auto"/>
              <w:ind w:firstLine="420" w:firstLineChars="200"/>
              <w:rPr>
                <w:rFonts w:hAnsi="宋体" w:cs="宋体"/>
                <w:sz w:val="21"/>
                <w:szCs w:val="21"/>
              </w:rPr>
            </w:pPr>
            <w:r>
              <w:rPr>
                <w:rFonts w:hint="eastAsia" w:hAnsi="宋体" w:cs="宋体"/>
                <w:sz w:val="21"/>
                <w:szCs w:val="21"/>
              </w:rPr>
              <w:t>4.关人故障处理：发生关人故障时，维保人员接报后应于</w:t>
            </w:r>
            <w:r>
              <w:rPr>
                <w:rFonts w:hint="eastAsia" w:hAnsi="宋体" w:cs="宋体"/>
                <w:sz w:val="21"/>
                <w:szCs w:val="21"/>
                <w:lang w:val="en-US" w:eastAsia="zh-CN"/>
              </w:rPr>
              <w:t>30</w:t>
            </w:r>
            <w:r>
              <w:rPr>
                <w:rFonts w:hint="eastAsia" w:hAnsi="宋体" w:cs="宋体"/>
                <w:sz w:val="21"/>
                <w:szCs w:val="21"/>
              </w:rPr>
              <w:t>分钟内到达现场立即进行紧急放人操作，并查明故障产生原因，根除故障。处理结束后填写《急修单》。</w:t>
            </w:r>
          </w:p>
          <w:p>
            <w:pPr>
              <w:spacing w:line="360" w:lineRule="auto"/>
              <w:ind w:firstLine="420" w:firstLineChars="200"/>
              <w:rPr>
                <w:rFonts w:hAnsi="宋体" w:cs="宋体"/>
                <w:sz w:val="21"/>
                <w:szCs w:val="21"/>
              </w:rPr>
            </w:pPr>
            <w:r>
              <w:rPr>
                <w:rFonts w:hint="eastAsia" w:hAnsi="宋体" w:cs="宋体"/>
                <w:sz w:val="21"/>
                <w:szCs w:val="21"/>
              </w:rPr>
              <w:t>5.运行保障：如遇相关检查或消防演练等活动，中标人应按采购人要求提前检查设备运行情况，配合采购人进行演练等。</w:t>
            </w:r>
          </w:p>
          <w:p>
            <w:pPr>
              <w:spacing w:line="360" w:lineRule="auto"/>
              <w:ind w:firstLine="420" w:firstLineChars="200"/>
              <w:rPr>
                <w:rFonts w:hint="eastAsia" w:hAnsi="宋体" w:cs="宋体"/>
                <w:sz w:val="21"/>
                <w:szCs w:val="21"/>
              </w:rPr>
            </w:pPr>
            <w:r>
              <w:rPr>
                <w:rFonts w:hint="eastAsia" w:hAnsi="宋体" w:cs="宋体"/>
                <w:sz w:val="21"/>
                <w:szCs w:val="21"/>
              </w:rPr>
              <w:t>6.所有的维修零配件必须是原厂配件，必须有出厂检测报告，产品合格证，不能使用次品或伪劣产品。对更换下来的所有电梯零配件、电子器件应交由采购人保管或由采购人销毁。</w:t>
            </w:r>
          </w:p>
          <w:p>
            <w:pPr>
              <w:widowControl/>
              <w:spacing w:line="360" w:lineRule="auto"/>
              <w:ind w:firstLine="420" w:firstLineChars="200"/>
              <w:jc w:val="left"/>
              <w:rPr>
                <w:rFonts w:hint="eastAsia" w:ascii="Times New Roman" w:hAnsi="宋体" w:eastAsia="宋体" w:cs="宋体"/>
                <w:kern w:val="0"/>
                <w:sz w:val="21"/>
                <w:szCs w:val="21"/>
                <w:lang w:val="en-US" w:eastAsia="zh-CN"/>
              </w:rPr>
            </w:pPr>
            <w:r>
              <w:rPr>
                <w:rFonts w:hint="eastAsia" w:ascii="Times New Roman" w:hAnsi="宋体" w:eastAsia="宋体" w:cs="宋体"/>
                <w:kern w:val="0"/>
                <w:sz w:val="21"/>
                <w:szCs w:val="21"/>
                <w:lang w:val="en-US" w:eastAsia="zh-CN"/>
              </w:rPr>
              <w:t>7.保养项目表(垂直梯)</w:t>
            </w:r>
          </w:p>
          <w:p>
            <w:pPr>
              <w:spacing w:line="360" w:lineRule="auto"/>
              <w:ind w:firstLine="440" w:firstLineChars="200"/>
              <w:textAlignment w:val="auto"/>
              <w:rPr>
                <w:rFonts w:hAnsi="宋体" w:cs="宋体"/>
                <w:b/>
                <w:bCs/>
                <w:szCs w:val="21"/>
                <w:shd w:val="clear" w:color="auto" w:fill="FFFFFF"/>
              </w:rPr>
            </w:pPr>
            <w:r>
              <w:rPr>
                <w:rFonts w:hint="eastAsia" w:ascii="Times New Roman" w:hAnsi="宋体" w:eastAsia="宋体" w:cs="宋体"/>
                <w:b w:val="0"/>
                <w:bCs w:val="0"/>
                <w:szCs w:val="21"/>
                <w:shd w:val="clear" w:color="auto" w:fill="auto"/>
                <w:lang w:val="en-US" w:eastAsia="zh-CN"/>
              </w:rPr>
              <w:t>7.</w:t>
            </w:r>
            <w:r>
              <w:rPr>
                <w:rFonts w:hint="eastAsia" w:ascii="Times New Roman" w:hAnsi="宋体" w:eastAsia="宋体" w:cs="宋体"/>
                <w:b w:val="0"/>
                <w:bCs w:val="0"/>
                <w:szCs w:val="21"/>
                <w:shd w:val="clear" w:color="auto" w:fill="auto"/>
              </w:rPr>
              <w:t>1</w:t>
            </w:r>
            <w:r>
              <w:rPr>
                <w:rFonts w:hint="eastAsia" w:ascii="Times New Roman" w:hAnsi="宋体" w:eastAsia="宋体" w:cs="宋体"/>
                <w:b w:val="0"/>
                <w:bCs w:val="0"/>
                <w:szCs w:val="21"/>
                <w:shd w:val="clear" w:color="auto" w:fill="auto"/>
                <w:lang w:val="en-US" w:eastAsia="zh-CN"/>
              </w:rPr>
              <w:t xml:space="preserve"> </w:t>
            </w:r>
            <w:r>
              <w:rPr>
                <w:rFonts w:hint="eastAsia" w:ascii="Times New Roman" w:hAnsi="宋体" w:eastAsia="宋体" w:cs="宋体"/>
                <w:szCs w:val="21"/>
                <w:shd w:val="clear" w:color="auto" w:fill="auto"/>
              </w:rPr>
              <w:t xml:space="preserve">半月维保项目（内容）和要求                        </w:t>
            </w:r>
            <w:r>
              <w:rPr>
                <w:rFonts w:hint="eastAsia" w:hAnsi="宋体" w:cs="宋体"/>
                <w:szCs w:val="21"/>
                <w:shd w:val="clear" w:color="auto" w:fill="FFFFFF"/>
              </w:rPr>
              <w:t xml:space="preserve">                  </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572"/>
              <w:gridCol w:w="3791"/>
              <w:gridCol w:w="488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序号</w:t>
                  </w:r>
                </w:p>
              </w:tc>
              <w:tc>
                <w:tcPr>
                  <w:tcW w:w="0" w:type="auto"/>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维保项目（内容）</w:t>
                  </w:r>
                </w:p>
              </w:tc>
              <w:tc>
                <w:tcPr>
                  <w:tcW w:w="0" w:type="auto"/>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1</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手动紧急操作装置</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齐全，在指定位置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2</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驱动主机</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trike/>
                      <w:szCs w:val="21"/>
                      <w:shd w:val="clear" w:color="auto" w:fill="FFFFFF"/>
                    </w:rPr>
                  </w:pPr>
                  <w:r>
                    <w:rPr>
                      <w:rFonts w:hint="eastAsia" w:hAnsi="宋体" w:cs="宋体"/>
                      <w:szCs w:val="21"/>
                      <w:shd w:val="clear" w:color="auto" w:fill="FFFFFF"/>
                    </w:rPr>
                    <w:t>运行时无异常振动和异常声响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3</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制动器各销轴部位</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动作灵活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701"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4</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 xml:space="preserve">制动器间隙 </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打开时制动衬与制动轮不应发生摩擦，间隙值符合制造单位要求</w:t>
                  </w:r>
                </w:p>
                <w:p>
                  <w:pPr>
                    <w:spacing w:line="360" w:lineRule="auto"/>
                    <w:jc w:val="left"/>
                    <w:textAlignment w:val="baseline"/>
                    <w:rPr>
                      <w:rFonts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739"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5</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制动器作为轿厢意外移动保护装置制停子系统时的自监测</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制动力人工方式检测符合使用维护说明书要求；制动力自监测系统有记录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6</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编码器</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清洁，安装牢固</w:t>
                  </w:r>
                </w:p>
                <w:p>
                  <w:pPr>
                    <w:spacing w:line="360" w:lineRule="auto"/>
                    <w:jc w:val="left"/>
                    <w:textAlignment w:val="baseline"/>
                    <w:rPr>
                      <w:rFonts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7</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限速器各销轴部位</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润滑，转动灵活；电气开关正常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8</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层门和轿门旁路装置</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lang w:val="en-US" w:eastAsia="zh-CN"/>
                    </w:rPr>
                    <w:t>9</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紧急电动运行</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0</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轿顶</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清洁，防护栏安全可靠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1</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轿顶检修开关、停止装置</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2</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导靴上油杯</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吸油毛毡齐全，油量适宜，油杯无泄漏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3</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对重/平衡重块及其压板</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对重/平衡重块无松动，压板紧固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4</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井道照明</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齐全，正常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5</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轿厢照明、风扇、应急照明</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6</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轿厢检修开关、停止装置</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7</w:t>
                  </w:r>
                </w:p>
              </w:tc>
              <w:tc>
                <w:tcPr>
                  <w:tcW w:w="0" w:type="auto"/>
                  <w:tcBorders>
                    <w:top w:val="single" w:color="auto" w:sz="6" w:space="0"/>
                    <w:left w:val="single" w:color="auto" w:sz="6" w:space="0"/>
                    <w:bottom w:val="single" w:color="auto" w:sz="6" w:space="0"/>
                    <w:right w:val="single" w:color="auto" w:sz="6"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轿内报警装置、对讲系统</w:t>
                  </w:r>
                </w:p>
              </w:tc>
              <w:tc>
                <w:tcPr>
                  <w:tcW w:w="0" w:type="auto"/>
                  <w:tcBorders>
                    <w:top w:val="single" w:color="auto" w:sz="6" w:space="0"/>
                    <w:left w:val="single" w:color="auto" w:sz="6" w:space="0"/>
                    <w:bottom w:val="single" w:color="auto" w:sz="6" w:space="0"/>
                    <w:right w:val="single" w:color="auto" w:sz="12" w:space="0"/>
                  </w:tcBorders>
                  <w:noWrap w:val="0"/>
                  <w:vAlign w:val="top"/>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1</w:t>
                  </w:r>
                  <w:r>
                    <w:rPr>
                      <w:rFonts w:hint="eastAsia" w:hAnsi="宋体" w:cs="宋体"/>
                      <w:szCs w:val="21"/>
                      <w:shd w:val="clear" w:color="auto" w:fill="FFFFFF"/>
                      <w:lang w:val="en-US" w:eastAsia="zh-CN"/>
                    </w:rPr>
                    <w:t>8</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轿内显示、指令按钮、IC 卡系统</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797"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default" w:hAnsi="宋体" w:eastAsia="宋体" w:cs="宋体"/>
                      <w:szCs w:val="21"/>
                      <w:shd w:val="clear" w:color="auto" w:fill="FFFFFF"/>
                      <w:lang w:val="en-US" w:eastAsia="zh-CN"/>
                    </w:rPr>
                  </w:pPr>
                  <w:r>
                    <w:rPr>
                      <w:rFonts w:hint="eastAsia" w:hAnsi="宋体" w:cs="宋体"/>
                      <w:szCs w:val="21"/>
                      <w:shd w:val="clear" w:color="auto" w:fill="FFFFFF"/>
                      <w:lang w:val="en-US" w:eastAsia="zh-CN"/>
                    </w:rPr>
                    <w:t>19</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 xml:space="preserve">轿门防撞击保护装置(安全触板，光幕、光电等) </w:t>
                  </w:r>
                </w:p>
                <w:p>
                  <w:pPr>
                    <w:spacing w:line="360" w:lineRule="auto"/>
                    <w:textAlignment w:val="baseline"/>
                    <w:rPr>
                      <w:rFonts w:hAnsi="宋体" w:cs="宋体"/>
                      <w:szCs w:val="21"/>
                      <w:shd w:val="clear" w:color="auto" w:fill="FFFFFF"/>
                    </w:rPr>
                  </w:pPr>
                  <w:r>
                    <w:rPr>
                      <w:rFonts w:hint="eastAsia" w:hAnsi="宋体" w:cs="宋体"/>
                      <w:szCs w:val="21"/>
                      <w:shd w:val="clear" w:color="auto" w:fill="FFFFFF"/>
                    </w:rPr>
                    <w:t>板，光幕、光电等)</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0</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轿门门锁电气触点</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1</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轿门运行</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开启和关闭工作正常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2</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轿厢平层准确度</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符合标准值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3</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层站召唤、层楼显示</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4</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层门地坎</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5</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层门自动关门装置</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753"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6</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层门门锁自动复位</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用层门钥匙打开手动开锁装置释放后，层门门锁能自动复位</w:t>
                  </w:r>
                </w:p>
                <w:p>
                  <w:pPr>
                    <w:spacing w:line="360" w:lineRule="auto"/>
                    <w:textAlignment w:val="baseline"/>
                    <w:rPr>
                      <w:rFonts w:hAnsi="宋体" w:cs="宋体"/>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7</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层门门锁电气触点</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04"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2</w:t>
                  </w:r>
                  <w:r>
                    <w:rPr>
                      <w:rFonts w:hint="eastAsia" w:hAnsi="宋体" w:cs="宋体"/>
                      <w:szCs w:val="21"/>
                      <w:shd w:val="clear" w:color="auto" w:fill="FFFFFF"/>
                      <w:lang w:val="en-US" w:eastAsia="zh-CN"/>
                    </w:rPr>
                    <w:t>8</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层门锁紧元件啮合长度</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不小于7mm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752" w:hRule="exac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int="default" w:hAnsi="宋体" w:eastAsia="宋体" w:cs="宋体"/>
                      <w:szCs w:val="21"/>
                      <w:shd w:val="clear" w:color="auto" w:fill="FFFFFF"/>
                      <w:lang w:val="en-US" w:eastAsia="zh-CN"/>
                    </w:rPr>
                  </w:pPr>
                  <w:r>
                    <w:rPr>
                      <w:rFonts w:hint="eastAsia" w:hAnsi="宋体" w:cs="宋体"/>
                      <w:szCs w:val="21"/>
                      <w:shd w:val="clear" w:color="auto" w:fill="FFFFFF"/>
                      <w:lang w:val="en-US" w:eastAsia="zh-CN"/>
                    </w:rPr>
                    <w:t>29</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底坑环境</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清洁，无渗水、积水，照明正常（甲方负责确保底坑干燥无渗水、无积水）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0" w:type="auto"/>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textAlignment w:val="baseline"/>
                    <w:rPr>
                      <w:rFonts w:hint="eastAsia" w:hAnsi="宋体" w:eastAsia="宋体" w:cs="宋体"/>
                      <w:szCs w:val="21"/>
                      <w:shd w:val="clear" w:color="auto" w:fill="FFFFFF"/>
                      <w:lang w:eastAsia="zh-CN"/>
                    </w:rPr>
                  </w:pPr>
                  <w:r>
                    <w:rPr>
                      <w:rFonts w:hint="eastAsia" w:hAnsi="宋体" w:cs="宋体"/>
                      <w:szCs w:val="21"/>
                      <w:shd w:val="clear" w:color="auto" w:fill="FFFFFF"/>
                    </w:rPr>
                    <w:t>3</w:t>
                  </w:r>
                  <w:r>
                    <w:rPr>
                      <w:rFonts w:hint="eastAsia" w:hAnsi="宋体" w:cs="宋体"/>
                      <w:szCs w:val="21"/>
                      <w:shd w:val="clear" w:color="auto" w:fill="FFFFFF"/>
                      <w:lang w:val="en-US" w:eastAsia="zh-CN"/>
                    </w:rPr>
                    <w:t>0</w:t>
                  </w:r>
                </w:p>
              </w:tc>
              <w:tc>
                <w:tcPr>
                  <w:tcW w:w="0" w:type="auto"/>
                  <w:tcBorders>
                    <w:top w:val="single" w:color="auto" w:sz="6" w:space="0"/>
                    <w:left w:val="single" w:color="auto" w:sz="6" w:space="0"/>
                    <w:bottom w:val="single" w:color="auto" w:sz="12"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底坑停止装置</w:t>
                  </w:r>
                </w:p>
              </w:tc>
              <w:tc>
                <w:tcPr>
                  <w:tcW w:w="0" w:type="auto"/>
                  <w:tcBorders>
                    <w:top w:val="single" w:color="auto" w:sz="6" w:space="0"/>
                    <w:left w:val="single" w:color="auto" w:sz="6" w:space="0"/>
                    <w:bottom w:val="single" w:color="auto" w:sz="12"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bl>
          <w:p>
            <w:pPr>
              <w:spacing w:line="360" w:lineRule="auto"/>
              <w:ind w:firstLine="442" w:firstLineChars="200"/>
              <w:textAlignment w:val="baseline"/>
              <w:rPr>
                <w:rFonts w:hAnsi="宋体" w:cs="宋体"/>
                <w:b/>
                <w:bCs/>
                <w:szCs w:val="21"/>
                <w:shd w:val="clear" w:color="auto" w:fill="FFFFFF"/>
              </w:rPr>
            </w:pPr>
          </w:p>
          <w:p>
            <w:pPr>
              <w:spacing w:line="360" w:lineRule="auto"/>
              <w:ind w:firstLine="442" w:firstLineChars="200"/>
              <w:textAlignment w:val="baseline"/>
              <w:rPr>
                <w:rFonts w:hAnsi="宋体" w:cs="宋体"/>
                <w:szCs w:val="21"/>
                <w:shd w:val="clear" w:color="auto" w:fill="FFFFFF"/>
              </w:rPr>
            </w:pPr>
            <w:r>
              <w:rPr>
                <w:rFonts w:hint="eastAsia" w:hAnsi="宋体" w:cs="宋体"/>
                <w:b/>
                <w:bCs/>
                <w:szCs w:val="21"/>
                <w:shd w:val="clear" w:color="auto" w:fill="FFFFFF"/>
                <w:lang w:val="en-US" w:eastAsia="zh-CN"/>
              </w:rPr>
              <w:t>7</w:t>
            </w:r>
            <w:r>
              <w:rPr>
                <w:rFonts w:hint="eastAsia" w:ascii="Times New Roman" w:hAnsi="宋体" w:eastAsia="宋体" w:cs="宋体"/>
                <w:b w:val="0"/>
                <w:bCs w:val="0"/>
                <w:szCs w:val="21"/>
                <w:shd w:val="clear" w:color="auto" w:fill="FFFFFF"/>
                <w:lang w:val="en-US" w:eastAsia="zh-CN"/>
              </w:rPr>
              <w:t>.</w:t>
            </w:r>
            <w:r>
              <w:rPr>
                <w:rFonts w:hint="eastAsia" w:ascii="Times New Roman" w:hAnsi="宋体" w:eastAsia="宋体" w:cs="宋体"/>
                <w:b w:val="0"/>
                <w:bCs w:val="0"/>
                <w:szCs w:val="21"/>
                <w:shd w:val="clear" w:color="auto" w:fill="FFFFFF"/>
              </w:rPr>
              <w:t>2</w:t>
            </w:r>
            <w:r>
              <w:rPr>
                <w:rFonts w:hint="eastAsia" w:ascii="Times New Roman" w:hAnsi="宋体" w:eastAsia="宋体" w:cs="宋体"/>
                <w:b w:val="0"/>
                <w:bCs w:val="0"/>
                <w:szCs w:val="21"/>
                <w:shd w:val="clear" w:color="auto" w:fill="FFFFFF"/>
                <w:lang w:val="en-US" w:eastAsia="zh-CN"/>
              </w:rPr>
              <w:t xml:space="preserve"> </w:t>
            </w:r>
            <w:r>
              <w:rPr>
                <w:rFonts w:hint="eastAsia" w:hAnsi="宋体" w:cs="宋体"/>
                <w:szCs w:val="21"/>
                <w:shd w:val="clear" w:color="auto" w:fill="FFFFFF"/>
              </w:rPr>
              <w:t>季度维保项目（内容）和要求</w:t>
            </w:r>
          </w:p>
          <w:p>
            <w:pPr>
              <w:spacing w:line="360" w:lineRule="auto"/>
              <w:ind w:firstLine="440" w:firstLineChars="200"/>
              <w:textAlignment w:val="baseline"/>
              <w:rPr>
                <w:rFonts w:hAnsi="宋体" w:cs="宋体"/>
                <w:szCs w:val="21"/>
                <w:shd w:val="clear" w:color="auto" w:fill="FFFFFF"/>
              </w:rPr>
            </w:pPr>
            <w:r>
              <w:rPr>
                <w:rFonts w:hint="eastAsia" w:hAnsi="宋体" w:cs="宋体"/>
                <w:szCs w:val="21"/>
                <w:shd w:val="clear" w:color="auto" w:fill="FFFFFF"/>
              </w:rPr>
              <w:t xml:space="preserve">季度维保项目（内容）和要求除符合半月维保的项目（内容）和要求外，还应当符合下表的项目（内容）和要求。                                                                                              </w:t>
            </w:r>
          </w:p>
          <w:tbl>
            <w:tblPr>
              <w:tblStyle w:val="16"/>
              <w:tblW w:w="933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15"/>
              <w:gridCol w:w="3699"/>
              <w:gridCol w:w="491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序号</w:t>
                  </w:r>
                </w:p>
              </w:tc>
              <w:tc>
                <w:tcPr>
                  <w:tcW w:w="3699" w:type="dxa"/>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维保项目（内容）</w:t>
                  </w:r>
                </w:p>
              </w:tc>
              <w:tc>
                <w:tcPr>
                  <w:tcW w:w="4916"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减速机润滑油</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油量适宜，除蜗杆伸出端外均无渗漏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2</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制动衬</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3</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编码器</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4</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选层器动静触点</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清洁，无烧蚀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5</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曳引轮槽、悬挂装置</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清洁，无严重油腻，张力均匀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6</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限速器轮槽、限速器钢丝绳</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清洁，无严重油腻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7</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靴衬、滚轮</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8</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验证轿门关闭的电气安全装置</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9</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层门、轿门系统中传动钢丝绳、链条、传动带</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按照制造单位要求进行清洁、调整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10</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层门门导靴</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11</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消防开关</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12</w:t>
                  </w:r>
                </w:p>
              </w:tc>
              <w:tc>
                <w:tcPr>
                  <w:tcW w:w="3699"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耗能缓冲器</w:t>
                  </w:r>
                </w:p>
              </w:tc>
              <w:tc>
                <w:tcPr>
                  <w:tcW w:w="491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13</w:t>
                  </w:r>
                </w:p>
              </w:tc>
              <w:tc>
                <w:tcPr>
                  <w:tcW w:w="3699" w:type="dxa"/>
                  <w:tcBorders>
                    <w:top w:val="single" w:color="auto" w:sz="6" w:space="0"/>
                    <w:left w:val="single" w:color="auto" w:sz="6" w:space="0"/>
                    <w:bottom w:val="single" w:color="auto" w:sz="12"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限速器张紧轮装置和电气安全装置</w:t>
                  </w:r>
                </w:p>
              </w:tc>
              <w:tc>
                <w:tcPr>
                  <w:tcW w:w="4916" w:type="dxa"/>
                  <w:tcBorders>
                    <w:top w:val="single" w:color="auto" w:sz="6" w:space="0"/>
                    <w:left w:val="single" w:color="auto" w:sz="6" w:space="0"/>
                    <w:bottom w:val="single" w:color="auto" w:sz="12"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bl>
          <w:p>
            <w:pPr>
              <w:spacing w:line="360" w:lineRule="auto"/>
              <w:ind w:firstLine="0" w:firstLineChars="0"/>
              <w:jc w:val="center"/>
              <w:textAlignment w:val="baseline"/>
              <w:rPr>
                <w:rFonts w:hint="eastAsia" w:ascii="Times New Roman" w:hAnsi="宋体" w:eastAsia="宋体" w:cs="宋体"/>
                <w:b w:val="0"/>
                <w:bCs w:val="0"/>
                <w:szCs w:val="21"/>
                <w:shd w:val="clear" w:color="auto" w:fill="FFFFFF"/>
              </w:rPr>
            </w:pPr>
          </w:p>
          <w:p>
            <w:pPr>
              <w:spacing w:line="360" w:lineRule="auto"/>
              <w:ind w:firstLine="440" w:firstLineChars="200"/>
              <w:jc w:val="both"/>
              <w:textAlignment w:val="baseline"/>
              <w:rPr>
                <w:rFonts w:hAnsi="宋体" w:cs="宋体"/>
                <w:szCs w:val="21"/>
                <w:shd w:val="clear" w:color="auto" w:fill="FFFFFF"/>
              </w:rPr>
            </w:pPr>
            <w:r>
              <w:rPr>
                <w:rFonts w:hint="eastAsia" w:ascii="Times New Roman" w:hAnsi="宋体" w:eastAsia="宋体" w:cs="宋体"/>
                <w:b w:val="0"/>
                <w:bCs w:val="0"/>
                <w:szCs w:val="21"/>
                <w:shd w:val="clear" w:color="auto" w:fill="FFFFFF"/>
                <w:lang w:val="en-US" w:eastAsia="zh-CN"/>
              </w:rPr>
              <w:t>7.3</w:t>
            </w:r>
            <w:r>
              <w:rPr>
                <w:rFonts w:hint="eastAsia" w:ascii="仿宋" w:hAnsi="宋体" w:eastAsia="仿宋" w:cs="宋体"/>
                <w:szCs w:val="21"/>
                <w:shd w:val="clear" w:color="auto" w:fill="FFFFFF"/>
              </w:rPr>
              <w:t>半</w:t>
            </w:r>
            <w:r>
              <w:rPr>
                <w:rFonts w:hint="eastAsia" w:hAnsi="宋体" w:cs="宋体"/>
                <w:szCs w:val="21"/>
                <w:shd w:val="clear" w:color="auto" w:fill="FFFFFF"/>
              </w:rPr>
              <w:t>年维保项目（内容）和要求</w:t>
            </w:r>
          </w:p>
          <w:p>
            <w:pPr>
              <w:spacing w:line="360" w:lineRule="auto"/>
              <w:ind w:firstLine="440" w:firstLineChars="200"/>
              <w:textAlignment w:val="baseline"/>
              <w:rPr>
                <w:rFonts w:hAnsi="宋体" w:cs="宋体"/>
                <w:szCs w:val="21"/>
                <w:shd w:val="clear" w:color="auto" w:fill="FFFFFF"/>
              </w:rPr>
            </w:pPr>
            <w:r>
              <w:rPr>
                <w:rFonts w:hint="eastAsia" w:hAnsi="宋体" w:cs="宋体"/>
                <w:szCs w:val="21"/>
                <w:shd w:val="clear" w:color="auto" w:fill="FFFFFF"/>
              </w:rPr>
              <w:t xml:space="preserve">半年维保项目（内容）和要求除符合季度维保的项目（内容）和要求外，还应当符合下表的项目（内容）和要求。                                                                                          </w:t>
            </w:r>
          </w:p>
          <w:tbl>
            <w:tblPr>
              <w:tblStyle w:val="16"/>
              <w:tblW w:w="92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15"/>
              <w:gridCol w:w="3420"/>
              <w:gridCol w:w="51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序号</w:t>
                  </w:r>
                </w:p>
              </w:tc>
              <w:tc>
                <w:tcPr>
                  <w:tcW w:w="3420" w:type="dxa"/>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维保项目（内容）</w:t>
                  </w:r>
                </w:p>
              </w:tc>
              <w:tc>
                <w:tcPr>
                  <w:tcW w:w="5122" w:type="dxa"/>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电动机与减速机联轴器</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连接无松动，弹性元件外观良好，无老化等现象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2</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曳引轮、导向轮轴承部</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3</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曳引轮槽</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4</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制动器动作状态监测装置</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工作正常，制动器动作可靠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5</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控制柜内各接线端子</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各接线紧固、整齐，线号齐全清晰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6</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控制柜各仪表</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显示正确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7</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井道、对重、轿顶各反绳轮轴承部</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8</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悬挂装置、补偿绳</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磨损量、断丝数不超过要求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9</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绳头组合</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螺母无松动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10</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限速器钢丝绳</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磨损量、断丝数不超过制造单位要求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11</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层门、轿门门扇</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门扇各相关间隙符合标准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12</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轿门开门限制装置</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13</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对重缓冲距离</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14</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补偿链（绳）与轿厢、对重接合处</w:t>
                  </w:r>
                </w:p>
              </w:tc>
              <w:tc>
                <w:tcPr>
                  <w:tcW w:w="5122" w:type="dxa"/>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715" w:type="dxa"/>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15</w:t>
                  </w:r>
                </w:p>
              </w:tc>
              <w:tc>
                <w:tcPr>
                  <w:tcW w:w="3420" w:type="dxa"/>
                  <w:tcBorders>
                    <w:top w:val="single" w:color="auto" w:sz="6" w:space="0"/>
                    <w:left w:val="single" w:color="auto" w:sz="6" w:space="0"/>
                    <w:bottom w:val="single" w:color="auto" w:sz="12"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上下极限开关</w:t>
                  </w:r>
                </w:p>
              </w:tc>
              <w:tc>
                <w:tcPr>
                  <w:tcW w:w="5122" w:type="dxa"/>
                  <w:tcBorders>
                    <w:top w:val="single" w:color="auto" w:sz="6" w:space="0"/>
                    <w:left w:val="single" w:color="auto" w:sz="6" w:space="0"/>
                    <w:bottom w:val="single" w:color="auto" w:sz="12"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bl>
          <w:p>
            <w:pPr>
              <w:spacing w:line="360" w:lineRule="auto"/>
              <w:textAlignment w:val="baseline"/>
              <w:rPr>
                <w:rFonts w:hAnsi="宋体" w:cs="宋体"/>
                <w:b/>
                <w:bCs/>
                <w:szCs w:val="21"/>
                <w:shd w:val="clear" w:color="auto" w:fill="FFFFFF"/>
              </w:rPr>
            </w:pPr>
          </w:p>
          <w:p>
            <w:pPr>
              <w:spacing w:line="360" w:lineRule="auto"/>
              <w:ind w:firstLine="440" w:firstLineChars="200"/>
              <w:textAlignment w:val="baseline"/>
              <w:rPr>
                <w:rFonts w:hAnsi="宋体" w:cs="宋体"/>
                <w:szCs w:val="21"/>
                <w:shd w:val="clear" w:color="auto" w:fill="FFFFFF"/>
              </w:rPr>
            </w:pPr>
            <w:r>
              <w:rPr>
                <w:rFonts w:hint="eastAsia" w:hAnsi="宋体" w:cs="宋体"/>
                <w:szCs w:val="21"/>
                <w:shd w:val="clear" w:color="auto" w:fill="FFFFFF"/>
                <w:lang w:val="en-US" w:eastAsia="zh-CN"/>
              </w:rPr>
              <w:t>7.4</w:t>
            </w:r>
            <w:r>
              <w:rPr>
                <w:rFonts w:hint="eastAsia" w:hAnsi="宋体" w:cs="宋体"/>
                <w:szCs w:val="21"/>
                <w:shd w:val="clear" w:color="auto" w:fill="FFFFFF"/>
              </w:rPr>
              <w:t>年度维保项目（内容）和要求</w:t>
            </w:r>
          </w:p>
          <w:p>
            <w:pPr>
              <w:spacing w:line="360" w:lineRule="auto"/>
              <w:ind w:firstLine="440" w:firstLineChars="200"/>
              <w:textAlignment w:val="baseline"/>
              <w:rPr>
                <w:rFonts w:hAnsi="宋体" w:cs="宋体"/>
                <w:szCs w:val="21"/>
                <w:shd w:val="clear" w:color="auto" w:fill="FFFFFF"/>
              </w:rPr>
            </w:pPr>
            <w:r>
              <w:rPr>
                <w:rFonts w:hint="eastAsia" w:hAnsi="宋体" w:cs="宋体"/>
                <w:szCs w:val="21"/>
                <w:shd w:val="clear" w:color="auto" w:fill="FFFFFF"/>
              </w:rPr>
              <w:t xml:space="preserve">年度维保项目（内容）和要求除符合半年维保的项目（内容）和要求外，还应当符合下表的项目（内容）和要求。                                                                                               </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503"/>
              <w:gridCol w:w="5542"/>
              <w:gridCol w:w="31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12"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序号</w:t>
                  </w:r>
                </w:p>
              </w:tc>
              <w:tc>
                <w:tcPr>
                  <w:tcW w:w="0" w:type="auto"/>
                  <w:tcBorders>
                    <w:top w:val="single" w:color="auto" w:sz="12" w:space="0"/>
                    <w:left w:val="single" w:color="auto" w:sz="6"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维保项目（内容）</w:t>
                  </w:r>
                </w:p>
              </w:tc>
              <w:tc>
                <w:tcPr>
                  <w:tcW w:w="0" w:type="auto"/>
                  <w:tcBorders>
                    <w:top w:val="single" w:color="auto" w:sz="12" w:space="0"/>
                    <w:left w:val="single" w:color="auto" w:sz="6" w:space="0"/>
                    <w:bottom w:val="single" w:color="auto" w:sz="6" w:space="0"/>
                    <w:right w:val="single" w:color="auto" w:sz="12"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减速机润滑油</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2</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控制柜接触器，继电器触点</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接触良好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3</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制动器铁芯（柱塞）</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4</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制动器制动能力</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符合制造单位要求，保持有足够的制动力，必要时进行轿厢装载125%额定载重量的制动试验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5</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导电回路绝缘性能测试</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719"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6</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限速器安全钳联动试验(对于使用年限不超过15 年的限速器，每2 年进行一次限速器动作速度校验；对于使用年限超过15 年的限速器，每年进行一次限速器动作速度校验)</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7</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上行超速保护装置动作试验</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8</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轿厢意外移动保护装置动作试验</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9</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textAlignment w:val="baseline"/>
                    <w:rPr>
                      <w:rFonts w:hAnsi="宋体" w:cs="宋体"/>
                      <w:szCs w:val="21"/>
                      <w:shd w:val="clear" w:color="auto" w:fill="FFFFFF"/>
                    </w:rPr>
                  </w:pPr>
                  <w:r>
                    <w:rPr>
                      <w:rFonts w:hint="eastAsia" w:hAnsi="宋体" w:cs="宋体"/>
                      <w:szCs w:val="21"/>
                      <w:shd w:val="clear" w:color="auto" w:fill="FFFFFF"/>
                    </w:rPr>
                    <w:t>轿顶、轿厢架、轿门及其附件安装螺栓</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10</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轿厢和对重/平衡重的导轨支架</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11</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轿厢和对重/平衡重的导轨</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清洁，压板牢固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12</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随行电缆</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无损伤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13</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层门装置和地坎</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14</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轿厢称重装置</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准确有效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15</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安全钳钳座</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16</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轿底各安装螺栓</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0" w:type="auto"/>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textAlignment w:val="baseline"/>
                    <w:rPr>
                      <w:rFonts w:hAnsi="宋体" w:cs="宋体"/>
                      <w:szCs w:val="21"/>
                      <w:shd w:val="clear" w:color="auto" w:fill="FFFFFF"/>
                    </w:rPr>
                  </w:pPr>
                  <w:r>
                    <w:rPr>
                      <w:rFonts w:hint="eastAsia" w:hAnsi="宋体" w:cs="宋体"/>
                      <w:szCs w:val="21"/>
                      <w:shd w:val="clear" w:color="auto" w:fill="FFFFFF"/>
                    </w:rPr>
                    <w:t>17</w:t>
                  </w:r>
                </w:p>
              </w:tc>
              <w:tc>
                <w:tcPr>
                  <w:tcW w:w="0" w:type="auto"/>
                  <w:tcBorders>
                    <w:top w:val="single" w:color="auto" w:sz="6" w:space="0"/>
                    <w:left w:val="single" w:color="auto" w:sz="6" w:space="0"/>
                    <w:bottom w:val="single" w:color="auto" w:sz="6" w:space="0"/>
                    <w:right w:val="single" w:color="auto" w:sz="6"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缓冲器</w:t>
                  </w:r>
                </w:p>
              </w:tc>
              <w:tc>
                <w:tcPr>
                  <w:tcW w:w="0" w:type="auto"/>
                  <w:tcBorders>
                    <w:top w:val="single" w:color="auto" w:sz="6" w:space="0"/>
                    <w:left w:val="single" w:color="auto" w:sz="6" w:space="0"/>
                    <w:bottom w:val="single" w:color="auto" w:sz="6" w:space="0"/>
                    <w:right w:val="single" w:color="auto" w:sz="12" w:space="0"/>
                  </w:tcBorders>
                  <w:noWrap w:val="0"/>
                  <w:vAlign w:val="center"/>
                </w:tcPr>
                <w:p>
                  <w:pPr>
                    <w:spacing w:line="360" w:lineRule="auto"/>
                    <w:textAlignment w:val="baseline"/>
                    <w:rPr>
                      <w:rFonts w:hAnsi="宋体" w:cs="宋体"/>
                      <w:szCs w:val="21"/>
                      <w:shd w:val="clear" w:color="auto" w:fill="FFFFFF"/>
                    </w:rPr>
                  </w:pPr>
                  <w:r>
                    <w:rPr>
                      <w:rFonts w:hint="eastAsia" w:hAnsi="宋体" w:cs="宋体"/>
                      <w:szCs w:val="21"/>
                      <w:shd w:val="clear" w:color="auto" w:fill="FFFFFF"/>
                    </w:rPr>
                    <w:t>固定，无松动</w:t>
                  </w:r>
                </w:p>
              </w:tc>
            </w:tr>
          </w:tbl>
          <w:p>
            <w:pPr>
              <w:pStyle w:val="13"/>
              <w:ind w:left="1290" w:hanging="730" w:hangingChars="348"/>
              <w:textAlignment w:val="baseline"/>
              <w:rPr>
                <w:rFonts w:hint="eastAsia" w:ascii="Times New Roman" w:hAnsi="宋体" w:eastAsia="宋体" w:cs="宋体"/>
                <w:spacing w:val="0"/>
                <w:sz w:val="21"/>
                <w:szCs w:val="21"/>
                <w:shd w:val="clear" w:color="auto" w:fill="auto"/>
              </w:rPr>
            </w:pPr>
            <w:r>
              <w:rPr>
                <w:rFonts w:hint="eastAsia" w:ascii="Times New Roman" w:hAnsi="宋体" w:eastAsia="宋体" w:cs="宋体"/>
                <w:spacing w:val="0"/>
                <w:sz w:val="21"/>
                <w:szCs w:val="21"/>
                <w:shd w:val="clear" w:color="auto" w:fill="auto"/>
              </w:rPr>
              <w:t>注：</w:t>
            </w:r>
          </w:p>
          <w:p>
            <w:pPr>
              <w:pStyle w:val="13"/>
              <w:spacing w:line="240" w:lineRule="auto"/>
              <w:ind w:left="0" w:leftChars="0" w:firstLine="210" w:firstLineChars="100"/>
              <w:jc w:val="left"/>
              <w:textAlignment w:val="baseline"/>
              <w:rPr>
                <w:rFonts w:hint="eastAsia" w:ascii="Times New Roman" w:hAnsi="宋体" w:eastAsia="宋体" w:cs="宋体"/>
                <w:spacing w:val="0"/>
                <w:sz w:val="21"/>
                <w:szCs w:val="21"/>
                <w:shd w:val="clear" w:color="auto" w:fill="auto"/>
              </w:rPr>
            </w:pPr>
            <w:r>
              <w:rPr>
                <w:rFonts w:hint="eastAsia" w:ascii="Times New Roman" w:hAnsi="宋体" w:eastAsia="宋体" w:cs="宋体"/>
                <w:spacing w:val="0"/>
                <w:sz w:val="21"/>
                <w:szCs w:val="21"/>
                <w:shd w:val="clear" w:color="auto" w:fill="auto"/>
                <w:lang w:eastAsia="zh-CN"/>
              </w:rPr>
              <w:t>（</w:t>
            </w:r>
            <w:r>
              <w:rPr>
                <w:rFonts w:hint="eastAsia" w:ascii="Times New Roman" w:hAnsi="宋体" w:eastAsia="宋体" w:cs="宋体"/>
                <w:spacing w:val="0"/>
                <w:sz w:val="21"/>
                <w:szCs w:val="21"/>
                <w:shd w:val="clear" w:color="auto" w:fill="auto"/>
                <w:lang w:val="en-US" w:eastAsia="zh-CN"/>
              </w:rPr>
              <w:t>1</w:t>
            </w:r>
            <w:r>
              <w:rPr>
                <w:rFonts w:hint="eastAsia" w:ascii="Times New Roman" w:hAnsi="宋体" w:eastAsia="宋体" w:cs="宋体"/>
                <w:spacing w:val="0"/>
                <w:sz w:val="21"/>
                <w:szCs w:val="21"/>
                <w:shd w:val="clear" w:color="auto" w:fill="auto"/>
                <w:lang w:eastAsia="zh-CN"/>
              </w:rPr>
              <w:t>）</w:t>
            </w:r>
            <w:r>
              <w:rPr>
                <w:rFonts w:hint="eastAsia" w:ascii="Times New Roman" w:hAnsi="宋体" w:eastAsia="宋体" w:cs="宋体"/>
                <w:spacing w:val="0"/>
                <w:sz w:val="21"/>
                <w:szCs w:val="21"/>
                <w:shd w:val="clear" w:color="auto" w:fill="auto"/>
              </w:rPr>
              <w:t>维保基本要求，规定为“符合标准”的，有国家标准应当符合国家标准，没有国家标准的应当符合行业标准、企业标准。</w:t>
            </w:r>
          </w:p>
          <w:p>
            <w:pPr>
              <w:pStyle w:val="13"/>
              <w:numPr>
                <w:ilvl w:val="0"/>
                <w:numId w:val="0"/>
              </w:numPr>
              <w:spacing w:line="240" w:lineRule="auto"/>
              <w:ind w:left="0" w:firstLine="210" w:firstLineChars="100"/>
              <w:jc w:val="left"/>
              <w:textAlignment w:val="baseline"/>
              <w:rPr>
                <w:rFonts w:hint="eastAsia" w:ascii="Times New Roman" w:hAnsi="宋体" w:eastAsia="宋体" w:cs="宋体"/>
                <w:spacing w:val="0"/>
                <w:sz w:val="21"/>
                <w:szCs w:val="21"/>
                <w:shd w:val="clear" w:color="auto" w:fill="auto"/>
              </w:rPr>
            </w:pPr>
            <w:r>
              <w:rPr>
                <w:rFonts w:hint="eastAsia" w:ascii="Times New Roman" w:hAnsi="宋体" w:eastAsia="宋体" w:cs="宋体"/>
                <w:spacing w:val="0"/>
                <w:sz w:val="21"/>
                <w:szCs w:val="21"/>
                <w:shd w:val="clear" w:color="auto" w:fill="auto"/>
                <w:lang w:eastAsia="zh-CN"/>
              </w:rPr>
              <w:t>（</w:t>
            </w:r>
            <w:r>
              <w:rPr>
                <w:rFonts w:hint="eastAsia" w:ascii="Times New Roman" w:hAnsi="宋体" w:eastAsia="宋体" w:cs="宋体"/>
                <w:spacing w:val="0"/>
                <w:sz w:val="21"/>
                <w:szCs w:val="21"/>
                <w:shd w:val="clear" w:color="auto" w:fill="auto"/>
                <w:lang w:val="en-US" w:eastAsia="zh-CN"/>
              </w:rPr>
              <w:t>2</w:t>
            </w:r>
            <w:r>
              <w:rPr>
                <w:rFonts w:hint="eastAsia" w:ascii="Times New Roman" w:hAnsi="宋体" w:eastAsia="宋体" w:cs="宋体"/>
                <w:spacing w:val="0"/>
                <w:sz w:val="21"/>
                <w:szCs w:val="21"/>
                <w:shd w:val="clear" w:color="auto" w:fill="auto"/>
                <w:lang w:eastAsia="zh-CN"/>
              </w:rPr>
              <w:t>）</w:t>
            </w:r>
            <w:r>
              <w:rPr>
                <w:rFonts w:hint="eastAsia" w:ascii="Times New Roman" w:hAnsi="宋体" w:eastAsia="宋体" w:cs="宋体"/>
                <w:spacing w:val="0"/>
                <w:sz w:val="21"/>
                <w:szCs w:val="21"/>
                <w:shd w:val="clear" w:color="auto" w:fill="auto"/>
              </w:rPr>
              <w:t>维保基本要求，规定为“制造单位要求”的，按照制造单位的要求，其他没有明确的“要求”，应当为安全技术规范、标准或者制造单位等的要求。</w:t>
            </w:r>
          </w:p>
          <w:p>
            <w:pPr>
              <w:pStyle w:val="13"/>
              <w:numPr>
                <w:ilvl w:val="0"/>
                <w:numId w:val="0"/>
              </w:numPr>
              <w:spacing w:line="240" w:lineRule="auto"/>
              <w:ind w:left="0" w:firstLine="210" w:firstLineChars="100"/>
              <w:jc w:val="left"/>
              <w:textAlignment w:val="baseline"/>
              <w:rPr>
                <w:rFonts w:hint="eastAsia" w:ascii="Times New Roman" w:hAnsi="宋体" w:eastAsia="宋体" w:cs="宋体"/>
                <w:spacing w:val="0"/>
                <w:sz w:val="21"/>
                <w:szCs w:val="21"/>
                <w:shd w:val="clear" w:color="auto" w:fill="auto"/>
              </w:rPr>
            </w:pPr>
          </w:p>
          <w:p>
            <w:pPr>
              <w:shd w:val="clear" w:color="auto" w:fill="FFFFFF"/>
              <w:spacing w:before="100" w:beforeAutospacing="1" w:after="100" w:afterAutospacing="1" w:line="220" w:lineRule="atLeast"/>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8.</w:t>
            </w:r>
            <w:r>
              <w:rPr>
                <w:rFonts w:hint="eastAsia" w:ascii="宋体" w:hAnsi="宋体" w:eastAsia="宋体" w:cs="宋体"/>
                <w:b w:val="0"/>
                <w:bCs w:val="0"/>
                <w:sz w:val="21"/>
                <w:szCs w:val="21"/>
              </w:rPr>
              <w:t>保养项目表(扶</w:t>
            </w:r>
            <w:r>
              <w:rPr>
                <w:rFonts w:hint="eastAsia" w:ascii="宋体" w:hAnsi="宋体" w:eastAsia="宋体" w:cs="宋体"/>
                <w:b w:val="0"/>
                <w:bCs w:val="0"/>
                <w:sz w:val="21"/>
                <w:szCs w:val="21"/>
                <w:lang w:val="en-US" w:eastAsia="zh-CN"/>
              </w:rPr>
              <w:t>手电</w:t>
            </w:r>
            <w:r>
              <w:rPr>
                <w:rFonts w:hint="eastAsia" w:ascii="宋体" w:hAnsi="宋体" w:eastAsia="宋体" w:cs="宋体"/>
                <w:b w:val="0"/>
                <w:bCs w:val="0"/>
                <w:sz w:val="21"/>
                <w:szCs w:val="21"/>
              </w:rPr>
              <w:t>梯)</w:t>
            </w:r>
          </w:p>
          <w:p>
            <w:pPr>
              <w:pStyle w:val="11"/>
              <w:rPr>
                <w:rFonts w:hint="eastAsia" w:ascii="仿宋" w:hAnsi="仿宋" w:eastAsia="仿宋" w:cs="仿宋"/>
                <w:b/>
                <w:bCs/>
                <w:sz w:val="22"/>
                <w:szCs w:val="22"/>
              </w:rPr>
            </w:pPr>
            <w:r>
              <w:rPr>
                <w:rFonts w:hint="eastAsia" w:ascii="仿宋" w:hAnsi="仿宋" w:eastAsia="仿宋" w:cs="仿宋"/>
                <w:b w:val="0"/>
                <w:bCs w:val="0"/>
                <w:sz w:val="22"/>
                <w:szCs w:val="22"/>
                <w:lang w:val="en-US" w:eastAsia="zh-CN"/>
              </w:rPr>
              <w:t>8.1</w:t>
            </w:r>
            <w:r>
              <w:rPr>
                <w:rFonts w:hint="eastAsia" w:ascii="仿宋" w:hAnsi="仿宋" w:eastAsia="仿宋" w:cs="仿宋"/>
                <w:sz w:val="22"/>
                <w:szCs w:val="22"/>
              </w:rPr>
              <w:t>半月维保项目（内容）和要求</w:t>
            </w:r>
          </w:p>
          <w:tbl>
            <w:tblPr>
              <w:tblStyle w:val="16"/>
              <w:tblW w:w="92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684"/>
              <w:gridCol w:w="3829"/>
              <w:gridCol w:w="47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12" w:space="0"/>
                    <w:left w:val="single" w:color="auto" w:sz="12" w:space="0"/>
                    <w:bottom w:val="single" w:color="auto" w:sz="6" w:space="0"/>
                    <w:right w:val="single" w:color="auto" w:sz="6" w:space="0"/>
                  </w:tcBorders>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序号</w:t>
                  </w:r>
                </w:p>
              </w:tc>
              <w:tc>
                <w:tcPr>
                  <w:tcW w:w="3850" w:type="dxa"/>
                  <w:tcBorders>
                    <w:top w:val="single" w:color="auto" w:sz="12" w:space="0"/>
                    <w:left w:val="single" w:color="auto" w:sz="6" w:space="0"/>
                    <w:bottom w:val="single" w:color="auto" w:sz="6" w:space="0"/>
                    <w:right w:val="single" w:color="auto" w:sz="6" w:space="0"/>
                  </w:tcBorders>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维保内容</w:t>
                  </w:r>
                </w:p>
              </w:tc>
              <w:tc>
                <w:tcPr>
                  <w:tcW w:w="4756" w:type="dxa"/>
                  <w:tcBorders>
                    <w:top w:val="single" w:color="auto" w:sz="12" w:space="0"/>
                    <w:left w:val="single" w:color="auto" w:sz="6" w:space="0"/>
                    <w:bottom w:val="single" w:color="auto" w:sz="6" w:space="0"/>
                    <w:right w:val="single" w:color="auto" w:sz="12" w:space="0"/>
                  </w:tcBorders>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电器部件</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清洁，接线</w:t>
                  </w:r>
                  <w:r>
                    <w:rPr>
                      <w:rFonts w:hint="eastAsia" w:ascii="仿宋" w:hAnsi="仿宋" w:eastAsia="仿宋" w:cs="仿宋"/>
                      <w:kern w:val="0"/>
                      <w:sz w:val="22"/>
                      <w:szCs w:val="22"/>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故障显示板</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信号功能正常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设备运行状况</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正常，没有异响和抖动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4</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主驱动链</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运转正常</w:t>
                  </w:r>
                  <w:r>
                    <w:rPr>
                      <w:rFonts w:hint="eastAsia" w:ascii="仿宋" w:hAnsi="仿宋" w:eastAsia="仿宋" w:cs="仿宋"/>
                      <w:kern w:val="0"/>
                      <w:sz w:val="22"/>
                      <w:szCs w:val="22"/>
                    </w:rPr>
                    <w:t>，电气安全保护装置动作有效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5</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制动器机械装置</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清洁，动作正常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6</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制动器状态监测开关</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7</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减速机润滑油</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油量适宜，无渗油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8</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电机通风口</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9</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检修控制装置</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10</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自动润滑油罐油位</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油位正常，润滑系统工作正常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11</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梳齿板开关</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12</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梳齿板照明</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照明正常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13</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梳齿板梳齿与踏板面齿槽、导向胶带</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梳齿板完好无损，梳齿板梳齿与踏板面齿槽、导向胶带啮合正常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14</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梯级或者踏板下陷开关</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15</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梯级或者踏板缺失监测装置</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16</w:t>
                  </w:r>
                </w:p>
              </w:tc>
              <w:tc>
                <w:tcPr>
                  <w:tcW w:w="3850"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超速或非操纵逆转监测装置</w:t>
                  </w:r>
                </w:p>
              </w:tc>
              <w:tc>
                <w:tcPr>
                  <w:tcW w:w="4756" w:type="dxa"/>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17</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 xml:space="preserve">检修盖板和楼层板 </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防倾覆或者翻转措施和监控装置有效、可靠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18</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梯级链张紧开关</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位置正确，动作正常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19</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防护挡板</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有效，无破损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20</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梯级滚轮和梯级导轨</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21</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梯级、踏板与围裙板</w:t>
                  </w:r>
                  <w:r>
                    <w:rPr>
                      <w:rFonts w:hint="eastAsia" w:ascii="仿宋" w:hAnsi="仿宋" w:eastAsia="仿宋" w:cs="仿宋"/>
                      <w:kern w:val="0"/>
                      <w:sz w:val="22"/>
                      <w:szCs w:val="22"/>
                    </w:rPr>
                    <w:t>之间的间隙</w:t>
                  </w:r>
                </w:p>
              </w:tc>
              <w:tc>
                <w:tcPr>
                  <w:tcW w:w="4756"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jc w:val="left"/>
                    <w:rPr>
                      <w:rFonts w:hint="eastAsia" w:ascii="仿宋" w:hAnsi="仿宋" w:eastAsia="仿宋" w:cs="仿宋"/>
                      <w:kern w:val="0"/>
                      <w:sz w:val="22"/>
                      <w:szCs w:val="22"/>
                    </w:rPr>
                  </w:pPr>
                  <w:r>
                    <w:rPr>
                      <w:rFonts w:hint="eastAsia" w:ascii="仿宋" w:hAnsi="仿宋" w:eastAsia="仿宋" w:cs="仿宋"/>
                      <w:kern w:val="0"/>
                      <w:sz w:val="22"/>
                      <w:szCs w:val="22"/>
                    </w:rPr>
                    <w:t>任何一侧的水平间隙及两侧间隙之和符合</w:t>
                  </w:r>
                </w:p>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标准值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22</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运行方向显示</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23</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 xml:space="preserve">扶手带入口处保护开关 </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动作灵活可靠，清除入口处垃圾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24</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w:t>
                  </w:r>
                </w:p>
              </w:tc>
              <w:tc>
                <w:tcPr>
                  <w:tcW w:w="4756" w:type="dxa"/>
                  <w:tcBorders>
                    <w:top w:val="single" w:color="auto" w:sz="6" w:space="0"/>
                    <w:left w:val="single" w:color="auto" w:sz="6" w:space="0"/>
                    <w:bottom w:val="single" w:color="auto" w:sz="6" w:space="0"/>
                    <w:right w:val="single" w:color="auto" w:sz="12"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表面无毛刺，无机械损伤，出入口处居中，运行无摩擦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25</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扶手带运行</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速度正常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26</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扶手护壁板</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牢固可靠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27</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上下出入口处的照明</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28</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上下出入口和扶梯之间保护栏杆</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牢固可靠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29</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出入口安全警示标志</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齐全，醒目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30</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分离机房、各驱动和转向站</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清洁，无杂物</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31</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自动运行功能</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6"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32</w:t>
                  </w:r>
                </w:p>
              </w:tc>
              <w:tc>
                <w:tcPr>
                  <w:tcW w:w="3850" w:type="dxa"/>
                  <w:tcBorders>
                    <w:top w:val="single" w:color="auto" w:sz="6" w:space="0"/>
                    <w:left w:val="single" w:color="auto" w:sz="6" w:space="0"/>
                    <w:bottom w:val="single" w:color="auto" w:sz="6"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紧急停止开关</w:t>
                  </w:r>
                </w:p>
              </w:tc>
              <w:tc>
                <w:tcPr>
                  <w:tcW w:w="4756" w:type="dxa"/>
                  <w:tcBorders>
                    <w:top w:val="single" w:color="auto" w:sz="6" w:space="0"/>
                    <w:left w:val="single" w:color="auto" w:sz="6" w:space="0"/>
                    <w:bottom w:val="single" w:color="auto" w:sz="6"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7" w:type="dxa"/>
                  <w:tcBorders>
                    <w:top w:val="single" w:color="auto" w:sz="6" w:space="0"/>
                    <w:left w:val="single" w:color="auto" w:sz="12" w:space="0"/>
                    <w:bottom w:val="single" w:color="auto" w:sz="12" w:space="0"/>
                    <w:right w:val="single" w:color="auto" w:sz="6"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33</w:t>
                  </w:r>
                </w:p>
              </w:tc>
              <w:tc>
                <w:tcPr>
                  <w:tcW w:w="3850" w:type="dxa"/>
                  <w:tcBorders>
                    <w:top w:val="single" w:color="auto" w:sz="6" w:space="0"/>
                    <w:left w:val="single" w:color="auto" w:sz="6" w:space="0"/>
                    <w:bottom w:val="single" w:color="auto" w:sz="12" w:space="0"/>
                    <w:right w:val="single" w:color="auto" w:sz="6"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驱动主机的固定</w:t>
                  </w:r>
                </w:p>
              </w:tc>
              <w:tc>
                <w:tcPr>
                  <w:tcW w:w="4756" w:type="dxa"/>
                  <w:tcBorders>
                    <w:top w:val="single" w:color="auto" w:sz="6" w:space="0"/>
                    <w:left w:val="single" w:color="auto" w:sz="6" w:space="0"/>
                    <w:bottom w:val="single" w:color="auto" w:sz="12"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牢固可靠</w:t>
                  </w:r>
                </w:p>
              </w:tc>
            </w:tr>
          </w:tbl>
          <w:p>
            <w:pPr>
              <w:shd w:val="clear" w:color="auto" w:fill="FFFFFF"/>
              <w:adjustRightInd w:val="0"/>
              <w:spacing w:before="100" w:beforeAutospacing="1" w:after="100" w:afterAutospacing="1" w:line="400" w:lineRule="exact"/>
              <w:ind w:firstLine="440" w:firstLineChars="200"/>
              <w:rPr>
                <w:rFonts w:hint="eastAsia" w:ascii="仿宋" w:hAnsi="仿宋" w:eastAsia="仿宋" w:cs="仿宋"/>
                <w:sz w:val="22"/>
                <w:szCs w:val="22"/>
              </w:rPr>
            </w:pPr>
            <w:r>
              <w:rPr>
                <w:rFonts w:hint="eastAsia" w:ascii="仿宋" w:hAnsi="仿宋" w:eastAsia="仿宋" w:cs="仿宋"/>
                <w:b w:val="0"/>
                <w:bCs w:val="0"/>
                <w:sz w:val="22"/>
                <w:szCs w:val="22"/>
                <w:lang w:val="en-US" w:eastAsia="zh-CN"/>
              </w:rPr>
              <w:t>8.2</w:t>
            </w:r>
            <w:r>
              <w:rPr>
                <w:rFonts w:hint="eastAsia" w:ascii="仿宋" w:hAnsi="仿宋" w:eastAsia="仿宋" w:cs="仿宋"/>
                <w:sz w:val="22"/>
                <w:szCs w:val="22"/>
              </w:rPr>
              <w:t>季度维保项目（内容）和要求</w:t>
            </w:r>
          </w:p>
          <w:p>
            <w:pPr>
              <w:shd w:val="clear" w:color="auto" w:fill="FFFFFF"/>
              <w:adjustRightInd w:val="0"/>
              <w:spacing w:before="100" w:beforeAutospacing="1" w:after="100" w:afterAutospacing="1"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季度维保项目（内容）和要求除符合半月维保的项目（内容）和要求外，还应当符合下表的项目（内容）和要求。</w:t>
            </w:r>
          </w:p>
          <w:tbl>
            <w:tblPr>
              <w:tblStyle w:val="16"/>
              <w:tblW w:w="92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651"/>
              <w:gridCol w:w="3859"/>
              <w:gridCol w:w="47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54" w:type="dxa"/>
                  <w:tcBorders>
                    <w:top w:val="single" w:color="auto" w:sz="12"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序号</w:t>
                  </w:r>
                </w:p>
              </w:tc>
              <w:tc>
                <w:tcPr>
                  <w:tcW w:w="3882" w:type="dxa"/>
                  <w:tcBorders>
                    <w:top w:val="single" w:color="auto" w:sz="12"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维保内容</w:t>
                  </w:r>
                </w:p>
              </w:tc>
              <w:tc>
                <w:tcPr>
                  <w:tcW w:w="4762" w:type="dxa"/>
                  <w:tcBorders>
                    <w:top w:val="single" w:color="auto" w:sz="12" w:space="0"/>
                    <w:left w:val="single" w:color="auto" w:sz="4" w:space="0"/>
                    <w:bottom w:val="single" w:color="auto" w:sz="4" w:space="0"/>
                    <w:right w:val="single" w:color="auto" w:sz="12" w:space="0"/>
                  </w:tcBorders>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5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w:t>
                  </w:r>
                </w:p>
              </w:tc>
              <w:tc>
                <w:tcPr>
                  <w:tcW w:w="388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扶手带的运行速度</w:t>
                  </w:r>
                </w:p>
              </w:tc>
              <w:tc>
                <w:tcPr>
                  <w:tcW w:w="4762"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相对于梯级、踏板或者胶带的速度允差为0～＋2％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5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w:t>
                  </w:r>
                </w:p>
              </w:tc>
              <w:tc>
                <w:tcPr>
                  <w:tcW w:w="388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梯级链张紧装置</w:t>
                  </w:r>
                </w:p>
              </w:tc>
              <w:tc>
                <w:tcPr>
                  <w:tcW w:w="4762"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5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w:t>
                  </w:r>
                </w:p>
              </w:tc>
              <w:tc>
                <w:tcPr>
                  <w:tcW w:w="388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梯级轴衬</w:t>
                  </w:r>
                </w:p>
              </w:tc>
              <w:tc>
                <w:tcPr>
                  <w:tcW w:w="4762"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润滑有效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5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4</w:t>
                  </w:r>
                </w:p>
              </w:tc>
              <w:tc>
                <w:tcPr>
                  <w:tcW w:w="388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梯级链润滑</w:t>
                  </w:r>
                </w:p>
              </w:tc>
              <w:tc>
                <w:tcPr>
                  <w:tcW w:w="4762"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运行工况正常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54" w:type="dxa"/>
                  <w:tcBorders>
                    <w:top w:val="single" w:color="auto" w:sz="4" w:space="0"/>
                    <w:left w:val="single" w:color="auto" w:sz="12" w:space="0"/>
                    <w:bottom w:val="single" w:color="auto" w:sz="12"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5</w:t>
                  </w:r>
                </w:p>
              </w:tc>
              <w:tc>
                <w:tcPr>
                  <w:tcW w:w="3882" w:type="dxa"/>
                  <w:tcBorders>
                    <w:top w:val="single" w:color="auto" w:sz="4" w:space="0"/>
                    <w:left w:val="single" w:color="auto" w:sz="4" w:space="0"/>
                    <w:bottom w:val="single" w:color="auto" w:sz="12"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防灌水保护装置</w:t>
                  </w:r>
                </w:p>
              </w:tc>
              <w:tc>
                <w:tcPr>
                  <w:tcW w:w="4762" w:type="dxa"/>
                  <w:tcBorders>
                    <w:top w:val="single" w:color="auto" w:sz="4" w:space="0"/>
                    <w:left w:val="single" w:color="auto" w:sz="4" w:space="0"/>
                    <w:bottom w:val="single" w:color="auto" w:sz="12"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动作可靠（雨季到来之前必须完成）</w:t>
                  </w:r>
                </w:p>
              </w:tc>
            </w:tr>
          </w:tbl>
          <w:p>
            <w:pPr>
              <w:shd w:val="clear" w:color="auto" w:fill="FFFFFF"/>
              <w:adjustRightInd w:val="0"/>
              <w:spacing w:before="100" w:beforeAutospacing="1" w:after="100" w:afterAutospacing="1" w:line="400" w:lineRule="exact"/>
              <w:ind w:firstLine="440" w:firstLineChars="200"/>
              <w:rPr>
                <w:rFonts w:hint="eastAsia" w:ascii="仿宋" w:hAnsi="仿宋" w:eastAsia="仿宋" w:cs="仿宋"/>
                <w:sz w:val="22"/>
                <w:szCs w:val="22"/>
              </w:rPr>
            </w:pPr>
            <w:r>
              <w:rPr>
                <w:rFonts w:hint="eastAsia" w:ascii="仿宋" w:hAnsi="仿宋" w:eastAsia="仿宋" w:cs="仿宋"/>
                <w:b w:val="0"/>
                <w:bCs w:val="0"/>
                <w:sz w:val="22"/>
                <w:szCs w:val="22"/>
                <w:lang w:val="en-US" w:eastAsia="zh-CN"/>
              </w:rPr>
              <w:t>8.3</w:t>
            </w:r>
            <w:r>
              <w:rPr>
                <w:rFonts w:hint="eastAsia" w:ascii="仿宋" w:hAnsi="仿宋" w:eastAsia="仿宋" w:cs="仿宋"/>
                <w:sz w:val="22"/>
                <w:szCs w:val="22"/>
              </w:rPr>
              <w:t>半年维保项目（内容）和要求</w:t>
            </w:r>
          </w:p>
          <w:p>
            <w:pPr>
              <w:shd w:val="clear" w:color="auto" w:fill="FFFFFF"/>
              <w:adjustRightInd w:val="0"/>
              <w:spacing w:before="100" w:beforeAutospacing="1" w:after="100" w:afterAutospacing="1"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半年维保项目（内容）和要求除符合季度维保的项目（内容）和要求外，还应当符合下表的项目（内容）和要求。</w:t>
            </w:r>
          </w:p>
          <w:tbl>
            <w:tblPr>
              <w:tblStyle w:val="16"/>
              <w:tblW w:w="94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622"/>
              <w:gridCol w:w="3679"/>
              <w:gridCol w:w="49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12"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序号</w:t>
                  </w:r>
                </w:p>
              </w:tc>
              <w:tc>
                <w:tcPr>
                  <w:tcW w:w="3755" w:type="dxa"/>
                  <w:tcBorders>
                    <w:top w:val="single" w:color="auto" w:sz="12"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维保内容</w:t>
                  </w:r>
                </w:p>
              </w:tc>
              <w:tc>
                <w:tcPr>
                  <w:tcW w:w="5046" w:type="dxa"/>
                  <w:tcBorders>
                    <w:top w:val="single" w:color="auto" w:sz="12" w:space="0"/>
                    <w:left w:val="single" w:color="auto" w:sz="4" w:space="0"/>
                    <w:bottom w:val="single" w:color="auto" w:sz="4" w:space="0"/>
                    <w:right w:val="single" w:color="auto" w:sz="12"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制动衬厚度</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不小于制造单位要求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主驱动链</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清理表面油污，润滑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主驱动链链条滑块</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清洁，厚度符合</w:t>
                  </w:r>
                  <w:r>
                    <w:rPr>
                      <w:rFonts w:hint="eastAsia" w:ascii="仿宋" w:hAnsi="仿宋" w:eastAsia="仿宋" w:cs="仿宋"/>
                      <w:kern w:val="0"/>
                      <w:sz w:val="22"/>
                      <w:szCs w:val="22"/>
                    </w:rPr>
                    <w:t>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4</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电动机与减速机联轴器</w:t>
                  </w:r>
                </w:p>
              </w:tc>
              <w:tc>
                <w:tcPr>
                  <w:tcW w:w="5046" w:type="dxa"/>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jc w:val="left"/>
                    <w:rPr>
                      <w:rFonts w:hint="eastAsia" w:ascii="仿宋" w:hAnsi="仿宋" w:eastAsia="仿宋" w:cs="仿宋"/>
                      <w:kern w:val="0"/>
                      <w:sz w:val="22"/>
                      <w:szCs w:val="22"/>
                    </w:rPr>
                  </w:pPr>
                  <w:r>
                    <w:rPr>
                      <w:rFonts w:hint="eastAsia" w:ascii="仿宋" w:hAnsi="仿宋" w:eastAsia="仿宋" w:cs="仿宋"/>
                      <w:kern w:val="0"/>
                      <w:sz w:val="22"/>
                      <w:szCs w:val="22"/>
                    </w:rPr>
                    <w:t>连接无松动，弹性元件外观良好，无老化等现象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5</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空载向下运行制动距离</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6</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制动器机械装置</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润滑，工作有效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7</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附加制动器</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清洁和润滑，功能可靠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8</w:t>
                  </w:r>
                </w:p>
              </w:tc>
              <w:tc>
                <w:tcPr>
                  <w:tcW w:w="375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减速机润滑油</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按照制造单位的要求进行检查、更换</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9</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调整梳齿板梳齿与踏板面齿槽啮合深度和间隙</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符合标准值</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60"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10</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扶手带张紧度张紧弹簧负荷长度</w:t>
                  </w:r>
                </w:p>
              </w:tc>
              <w:tc>
                <w:tcPr>
                  <w:tcW w:w="50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符合制造单位要求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31"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11</w:t>
                  </w:r>
                </w:p>
              </w:tc>
              <w:tc>
                <w:tcPr>
                  <w:tcW w:w="3755"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扶手带速度监控器系统</w:t>
                  </w:r>
                </w:p>
              </w:tc>
              <w:tc>
                <w:tcPr>
                  <w:tcW w:w="5046"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631" w:type="dxa"/>
                  <w:tcBorders>
                    <w:top w:val="single" w:color="auto" w:sz="4" w:space="0"/>
                    <w:left w:val="single" w:color="auto" w:sz="12" w:space="0"/>
                    <w:bottom w:val="single" w:color="auto" w:sz="12"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12</w:t>
                  </w:r>
                </w:p>
              </w:tc>
              <w:tc>
                <w:tcPr>
                  <w:tcW w:w="3755" w:type="dxa"/>
                  <w:tcBorders>
                    <w:top w:val="single" w:color="auto" w:sz="4" w:space="0"/>
                    <w:left w:val="single" w:color="auto" w:sz="4" w:space="0"/>
                    <w:bottom w:val="single" w:color="auto" w:sz="12"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kern w:val="0"/>
                      <w:sz w:val="22"/>
                      <w:szCs w:val="22"/>
                    </w:rPr>
                    <w:t>梯级踏板加热装置</w:t>
                  </w:r>
                </w:p>
              </w:tc>
              <w:tc>
                <w:tcPr>
                  <w:tcW w:w="5046"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hint="eastAsia" w:ascii="仿宋" w:hAnsi="仿宋" w:eastAsia="仿宋" w:cs="仿宋"/>
                      <w:kern w:val="0"/>
                      <w:sz w:val="22"/>
                      <w:szCs w:val="22"/>
                    </w:rPr>
                  </w:pPr>
                  <w:r>
                    <w:rPr>
                      <w:rFonts w:hint="eastAsia" w:ascii="仿宋" w:hAnsi="仿宋" w:eastAsia="仿宋" w:cs="仿宋"/>
                      <w:kern w:val="0"/>
                      <w:sz w:val="22"/>
                      <w:szCs w:val="22"/>
                    </w:rPr>
                    <w:t>功能正常，温度感应器接线牢固(冬季到来</w:t>
                  </w:r>
                </w:p>
                <w:p>
                  <w:pPr>
                    <w:rPr>
                      <w:rFonts w:hint="eastAsia" w:ascii="仿宋" w:hAnsi="仿宋" w:eastAsia="仿宋" w:cs="仿宋"/>
                      <w:sz w:val="22"/>
                      <w:szCs w:val="22"/>
                    </w:rPr>
                  </w:pPr>
                  <w:r>
                    <w:rPr>
                      <w:rFonts w:hint="eastAsia" w:ascii="仿宋" w:hAnsi="仿宋" w:eastAsia="仿宋" w:cs="仿宋"/>
                      <w:kern w:val="0"/>
                      <w:sz w:val="22"/>
                      <w:szCs w:val="22"/>
                    </w:rPr>
                    <w:t>之前必须完成)</w:t>
                  </w:r>
                </w:p>
              </w:tc>
            </w:tr>
          </w:tbl>
          <w:p>
            <w:pPr>
              <w:shd w:val="clear" w:color="auto" w:fill="FFFFFF"/>
              <w:spacing w:before="100" w:beforeAutospacing="1" w:after="100" w:afterAutospacing="1" w:line="400" w:lineRule="exact"/>
              <w:ind w:firstLine="431" w:firstLineChars="196"/>
              <w:rPr>
                <w:rFonts w:hint="eastAsia" w:ascii="仿宋" w:hAnsi="仿宋" w:eastAsia="仿宋" w:cs="仿宋"/>
                <w:sz w:val="22"/>
                <w:szCs w:val="22"/>
              </w:rPr>
            </w:pPr>
            <w:r>
              <w:rPr>
                <w:rFonts w:hint="eastAsia" w:ascii="仿宋" w:hAnsi="仿宋" w:eastAsia="仿宋" w:cs="仿宋"/>
                <w:b w:val="0"/>
                <w:bCs w:val="0"/>
                <w:sz w:val="22"/>
                <w:szCs w:val="22"/>
                <w:lang w:val="en-US" w:eastAsia="zh-CN"/>
              </w:rPr>
              <w:t>8.4</w:t>
            </w:r>
            <w:r>
              <w:rPr>
                <w:rFonts w:hint="eastAsia" w:ascii="仿宋" w:hAnsi="仿宋" w:eastAsia="仿宋" w:cs="仿宋"/>
                <w:sz w:val="22"/>
                <w:szCs w:val="22"/>
              </w:rPr>
              <w:t>年度维保项目（内容）和要求</w:t>
            </w:r>
          </w:p>
          <w:p>
            <w:pPr>
              <w:shd w:val="clear" w:color="auto" w:fill="FFFFFF"/>
              <w:adjustRightInd w:val="0"/>
              <w:spacing w:before="100" w:beforeAutospacing="1" w:after="100" w:afterAutospacing="1" w:line="40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年度维保项目（内容）和要求除符合半年维保的项目（内容）和要求外，还应当符合下表的项目（内容）和要求。</w:t>
            </w:r>
          </w:p>
          <w:tbl>
            <w:tblPr>
              <w:tblStyle w:val="16"/>
              <w:tblW w:w="927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42"/>
              <w:gridCol w:w="3969"/>
              <w:gridCol w:w="4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12"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序号</w:t>
                  </w:r>
                </w:p>
              </w:tc>
              <w:tc>
                <w:tcPr>
                  <w:tcW w:w="3980" w:type="dxa"/>
                  <w:tcBorders>
                    <w:top w:val="single" w:color="auto" w:sz="12"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维保内容</w:t>
                  </w:r>
                </w:p>
              </w:tc>
              <w:tc>
                <w:tcPr>
                  <w:tcW w:w="4546" w:type="dxa"/>
                  <w:tcBorders>
                    <w:top w:val="single" w:color="auto" w:sz="12" w:space="0"/>
                    <w:left w:val="single" w:color="auto" w:sz="4" w:space="0"/>
                    <w:bottom w:val="single" w:color="auto" w:sz="4" w:space="0"/>
                    <w:right w:val="single" w:color="auto" w:sz="12"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维保要求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 xml:space="preserve">主接触器 </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工作可靠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2</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主机速度检测功能</w:t>
                  </w:r>
                </w:p>
              </w:tc>
              <w:tc>
                <w:tcPr>
                  <w:tcW w:w="4546" w:type="dxa"/>
                  <w:tcBorders>
                    <w:top w:val="single" w:color="auto" w:sz="4" w:space="0"/>
                    <w:left w:val="single" w:color="auto" w:sz="4" w:space="0"/>
                    <w:bottom w:val="single" w:color="auto" w:sz="4" w:space="0"/>
                    <w:right w:val="single" w:color="auto" w:sz="12" w:space="0"/>
                  </w:tcBorders>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功能可靠，清洁感应面，感应间隙符合制造单位要求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3</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电缆</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无破损，固定牢固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4</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扶手带托轮、滑轮群、防静电轮</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清洁，无损伤，托轮转动平滑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5</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扶手带内侧凸缘处</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无损伤，清洁扶手导轨滑动面</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6</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扶手带断带保护开关</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功能正常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7</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扶手带导向块和导向轮</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清洁，工作正常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8</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在进入梳齿板处的梯级与导轮的轴向窜动量</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符</w:t>
                  </w:r>
                  <w:r>
                    <w:rPr>
                      <w:rFonts w:hint="eastAsia" w:ascii="仿宋" w:hAnsi="仿宋" w:eastAsia="仿宋" w:cs="仿宋"/>
                      <w:kern w:val="0"/>
                      <w:sz w:val="22"/>
                      <w:szCs w:val="22"/>
                    </w:rPr>
                    <w:t>合制造单位要求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9</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内外盖板连接</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紧密牢固，连接处的凸台、缝隙符合标准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10</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围裙板安全开关</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测试有效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11</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围裙板对接处</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紧密平滑</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4"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12</w:t>
                  </w:r>
                </w:p>
              </w:tc>
              <w:tc>
                <w:tcPr>
                  <w:tcW w:w="3980"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电气安全装置</w:t>
                  </w:r>
                </w:p>
              </w:tc>
              <w:tc>
                <w:tcPr>
                  <w:tcW w:w="4546" w:type="dxa"/>
                  <w:tcBorders>
                    <w:top w:val="single" w:color="auto" w:sz="4" w:space="0"/>
                    <w:left w:val="single" w:color="auto" w:sz="4" w:space="0"/>
                    <w:bottom w:val="single" w:color="auto" w:sz="4"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动作可靠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44" w:type="dxa"/>
                  <w:tcBorders>
                    <w:top w:val="single" w:color="auto" w:sz="4" w:space="0"/>
                    <w:left w:val="single" w:color="auto" w:sz="12" w:space="0"/>
                    <w:bottom w:val="single" w:color="auto" w:sz="12" w:space="0"/>
                    <w:right w:val="single" w:color="auto" w:sz="4" w:space="0"/>
                  </w:tcBorders>
                  <w:noWrap/>
                  <w:vAlign w:val="center"/>
                </w:tcPr>
                <w:p>
                  <w:pPr>
                    <w:spacing w:before="100" w:beforeAutospacing="1" w:after="100" w:afterAutospacing="1"/>
                    <w:jc w:val="center"/>
                    <w:rPr>
                      <w:rFonts w:hint="eastAsia" w:ascii="仿宋" w:hAnsi="仿宋" w:eastAsia="仿宋" w:cs="仿宋"/>
                      <w:sz w:val="22"/>
                      <w:szCs w:val="22"/>
                    </w:rPr>
                  </w:pPr>
                  <w:r>
                    <w:rPr>
                      <w:rFonts w:hint="eastAsia" w:ascii="仿宋" w:hAnsi="仿宋" w:eastAsia="仿宋" w:cs="仿宋"/>
                      <w:sz w:val="22"/>
                      <w:szCs w:val="22"/>
                    </w:rPr>
                    <w:t>13</w:t>
                  </w:r>
                </w:p>
              </w:tc>
              <w:tc>
                <w:tcPr>
                  <w:tcW w:w="3980" w:type="dxa"/>
                  <w:tcBorders>
                    <w:top w:val="single" w:color="auto" w:sz="4" w:space="0"/>
                    <w:left w:val="single" w:color="auto" w:sz="4" w:space="0"/>
                    <w:bottom w:val="single" w:color="auto" w:sz="12" w:space="0"/>
                    <w:right w:val="single" w:color="auto" w:sz="4"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设备运行状况</w:t>
                  </w:r>
                </w:p>
              </w:tc>
              <w:tc>
                <w:tcPr>
                  <w:tcW w:w="4546" w:type="dxa"/>
                  <w:tcBorders>
                    <w:top w:val="single" w:color="auto" w:sz="4" w:space="0"/>
                    <w:left w:val="single" w:color="auto" w:sz="4" w:space="0"/>
                    <w:bottom w:val="single" w:color="auto" w:sz="12" w:space="0"/>
                    <w:right w:val="single" w:color="auto" w:sz="12" w:space="0"/>
                  </w:tcBorders>
                  <w:noWrap/>
                  <w:vAlign w:val="center"/>
                </w:tcPr>
                <w:p>
                  <w:pPr>
                    <w:spacing w:before="100" w:beforeAutospacing="1" w:after="100" w:afterAutospacing="1"/>
                    <w:rPr>
                      <w:rFonts w:hint="eastAsia" w:ascii="仿宋" w:hAnsi="仿宋" w:eastAsia="仿宋" w:cs="仿宋"/>
                      <w:sz w:val="22"/>
                      <w:szCs w:val="22"/>
                    </w:rPr>
                  </w:pPr>
                  <w:r>
                    <w:rPr>
                      <w:rFonts w:hint="eastAsia" w:ascii="仿宋" w:hAnsi="仿宋" w:eastAsia="仿宋" w:cs="仿宋"/>
                      <w:sz w:val="22"/>
                      <w:szCs w:val="22"/>
                    </w:rPr>
                    <w:t>正常，梯级运行平稳，无异常抖动，无异响</w:t>
                  </w:r>
                </w:p>
              </w:tc>
            </w:tr>
          </w:tbl>
          <w:p>
            <w:pPr>
              <w:spacing w:line="380" w:lineRule="exact"/>
              <w:rPr>
                <w:rFonts w:hint="eastAsia" w:ascii="仿宋" w:hAnsi="仿宋" w:eastAsia="仿宋" w:cs="仿宋"/>
                <w:sz w:val="22"/>
                <w:szCs w:val="22"/>
              </w:rPr>
            </w:pPr>
            <w:r>
              <w:rPr>
                <w:rFonts w:hint="eastAsia" w:ascii="仿宋" w:hAnsi="仿宋" w:eastAsia="仿宋" w:cs="仿宋"/>
                <w:sz w:val="22"/>
                <w:szCs w:val="22"/>
              </w:rPr>
              <w:t>备注： 1.扶手带、强化玻璃、步级、盖板日常卫生清洁由甲方负责。</w:t>
            </w:r>
          </w:p>
          <w:p>
            <w:pPr>
              <w:spacing w:line="380" w:lineRule="exact"/>
              <w:ind w:left="420" w:firstLine="297" w:firstLineChars="135"/>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color w:val="000000"/>
                <w:sz w:val="22"/>
                <w:szCs w:val="22"/>
              </w:rPr>
              <w:t>油泵油及所有运行使用的油料均由</w:t>
            </w:r>
            <w:r>
              <w:rPr>
                <w:rFonts w:hint="eastAsia" w:ascii="仿宋" w:hAnsi="仿宋" w:eastAsia="仿宋" w:cs="仿宋"/>
                <w:sz w:val="22"/>
                <w:szCs w:val="22"/>
              </w:rPr>
              <w:t>甲方提供。</w:t>
            </w:r>
          </w:p>
          <w:p>
            <w:pPr>
              <w:spacing w:line="380" w:lineRule="exact"/>
              <w:rPr>
                <w:rFonts w:hint="eastAsia" w:ascii="Times New Roman" w:hAnsi="宋体" w:eastAsia="宋体" w:cs="宋体"/>
                <w:spacing w:val="0"/>
                <w:sz w:val="21"/>
                <w:szCs w:val="21"/>
                <w:shd w:val="clear" w:color="auto" w:fill="auto"/>
              </w:rPr>
            </w:pPr>
            <w:r>
              <w:rPr>
                <w:rFonts w:hint="eastAsia" w:ascii="仿宋" w:hAnsi="仿宋" w:eastAsia="仿宋" w:cs="仿宋"/>
                <w:sz w:val="22"/>
                <w:szCs w:val="22"/>
              </w:rPr>
              <w:t xml:space="preserve">       </w:t>
            </w:r>
          </w:p>
          <w:p>
            <w:pPr>
              <w:pStyle w:val="13"/>
              <w:numPr>
                <w:ilvl w:val="0"/>
                <w:numId w:val="0"/>
              </w:numPr>
              <w:spacing w:line="240" w:lineRule="auto"/>
              <w:jc w:val="left"/>
              <w:textAlignment w:val="baseline"/>
              <w:rPr>
                <w:rFonts w:hint="eastAsia" w:ascii="Times New Roman" w:hAnsi="宋体" w:eastAsia="宋体" w:cs="宋体"/>
                <w:spacing w:val="0"/>
                <w:sz w:val="21"/>
                <w:szCs w:val="21"/>
                <w:shd w:val="clear" w:color="auto" w:fill="auto"/>
              </w:rPr>
            </w:pPr>
          </w:p>
          <w:p>
            <w:pPr>
              <w:spacing w:line="360" w:lineRule="auto"/>
              <w:ind w:firstLine="442" w:firstLineChars="200"/>
              <w:rPr>
                <w:rFonts w:hint="eastAsia" w:hAnsi="宋体" w:cs="仿宋"/>
                <w:b/>
                <w:sz w:val="22"/>
                <w:szCs w:val="22"/>
              </w:rPr>
            </w:pPr>
            <w:r>
              <w:rPr>
                <w:rFonts w:hint="eastAsia" w:hAnsi="宋体"/>
                <w:b/>
                <w:sz w:val="22"/>
                <w:szCs w:val="22"/>
              </w:rPr>
              <w:t>服务考核</w:t>
            </w:r>
          </w:p>
          <w:p>
            <w:pPr>
              <w:spacing w:line="360" w:lineRule="auto"/>
              <w:ind w:firstLine="420" w:firstLineChars="200"/>
              <w:rPr>
                <w:rFonts w:hAnsi="宋体" w:cs="宋体"/>
                <w:sz w:val="21"/>
                <w:szCs w:val="21"/>
              </w:rPr>
            </w:pPr>
            <w:r>
              <w:rPr>
                <w:rFonts w:hint="eastAsia" w:hAnsi="宋体" w:cs="宋体"/>
                <w:sz w:val="21"/>
                <w:szCs w:val="21"/>
              </w:rPr>
              <w:t>1.考核时间：服务期内，采购人每季度组织一次考核。</w:t>
            </w:r>
          </w:p>
          <w:p>
            <w:pPr>
              <w:spacing w:line="360" w:lineRule="auto"/>
              <w:ind w:firstLine="420" w:firstLineChars="200"/>
              <w:rPr>
                <w:rFonts w:hAnsi="宋体" w:cs="宋体"/>
                <w:sz w:val="21"/>
                <w:szCs w:val="21"/>
              </w:rPr>
            </w:pPr>
            <w:r>
              <w:rPr>
                <w:rFonts w:hint="eastAsia" w:hAnsi="宋体" w:cs="宋体"/>
                <w:sz w:val="21"/>
                <w:szCs w:val="21"/>
              </w:rPr>
              <w:t>2.采购人根据</w:t>
            </w:r>
            <w:r>
              <w:rPr>
                <w:rFonts w:hint="eastAsia" w:hAnsi="宋体" w:cs="宋体"/>
                <w:sz w:val="21"/>
                <w:szCs w:val="21"/>
                <w:lang w:eastAsia="zh-CN"/>
              </w:rPr>
              <w:t>该项目合同</w:t>
            </w:r>
            <w:r>
              <w:rPr>
                <w:rFonts w:hint="eastAsia" w:hAnsi="宋体" w:cs="宋体"/>
                <w:sz w:val="21"/>
                <w:szCs w:val="21"/>
              </w:rPr>
              <w:t>及电梯运行的实际状况对中标人进行百分制考核。</w:t>
            </w:r>
          </w:p>
          <w:p>
            <w:pPr>
              <w:spacing w:line="360" w:lineRule="auto"/>
              <w:ind w:firstLine="420" w:firstLineChars="200"/>
              <w:rPr>
                <w:rFonts w:hAnsi="宋体" w:cs="宋体"/>
                <w:sz w:val="21"/>
                <w:szCs w:val="21"/>
              </w:rPr>
            </w:pPr>
            <w:r>
              <w:rPr>
                <w:rFonts w:hint="eastAsia" w:hAnsi="宋体" w:cs="宋体"/>
                <w:sz w:val="21"/>
                <w:szCs w:val="21"/>
              </w:rPr>
              <w:t>3.采购人每季度首月5日之前考核上季度电梯维保情况，考核内容包含：日常检查、周检、月检情况；设备运行维修故障率、轿厢、轿厢门、机房、井底坑道设备完好率、维保工作效率、故障响应度、维保计划执行情况等。</w:t>
            </w:r>
          </w:p>
          <w:p>
            <w:pPr>
              <w:spacing w:line="360" w:lineRule="auto"/>
              <w:ind w:firstLine="420" w:firstLineChars="200"/>
              <w:rPr>
                <w:rFonts w:hAnsi="宋体" w:cs="宋体"/>
                <w:sz w:val="21"/>
                <w:szCs w:val="21"/>
              </w:rPr>
            </w:pPr>
            <w:r>
              <w:rPr>
                <w:rFonts w:hint="eastAsia" w:hAnsi="宋体" w:cs="宋体"/>
                <w:sz w:val="21"/>
                <w:szCs w:val="21"/>
              </w:rPr>
              <w:t>4.中标人日常巡检、设备保养、维修记录应完整，并每月出具相关维保报告完整。</w:t>
            </w:r>
          </w:p>
          <w:p>
            <w:pPr>
              <w:spacing w:line="360" w:lineRule="auto"/>
              <w:ind w:firstLine="420" w:firstLineChars="200"/>
              <w:rPr>
                <w:rFonts w:hAnsi="宋体" w:cs="宋体"/>
                <w:sz w:val="21"/>
                <w:szCs w:val="21"/>
              </w:rPr>
            </w:pPr>
            <w:r>
              <w:rPr>
                <w:rFonts w:hint="eastAsia" w:hAnsi="宋体" w:cs="宋体"/>
                <w:sz w:val="21"/>
                <w:szCs w:val="21"/>
              </w:rPr>
              <w:t>5.考核细则：</w:t>
            </w:r>
          </w:p>
          <w:p>
            <w:pPr>
              <w:spacing w:line="360" w:lineRule="auto"/>
              <w:ind w:firstLine="420" w:firstLineChars="200"/>
              <w:rPr>
                <w:rFonts w:hAnsi="宋体" w:cs="宋体"/>
                <w:sz w:val="21"/>
                <w:szCs w:val="21"/>
              </w:rPr>
            </w:pPr>
            <w:r>
              <w:rPr>
                <w:rFonts w:hint="eastAsia" w:hAnsi="宋体" w:cs="宋体"/>
                <w:sz w:val="21"/>
                <w:szCs w:val="21"/>
              </w:rPr>
              <w:t>采购人以一台电梯作为一个考核单元，每季度对清单中的每台电梯进行一次考核。</w:t>
            </w:r>
          </w:p>
          <w:p>
            <w:pPr>
              <w:spacing w:line="360" w:lineRule="auto"/>
              <w:ind w:firstLine="420" w:firstLineChars="200"/>
              <w:rPr>
                <w:rFonts w:hAnsi="宋体" w:cs="宋体"/>
                <w:sz w:val="21"/>
                <w:szCs w:val="21"/>
              </w:rPr>
            </w:pPr>
            <w:r>
              <w:rPr>
                <w:rFonts w:hint="eastAsia" w:hAnsi="宋体" w:cs="宋体"/>
                <w:sz w:val="21"/>
                <w:szCs w:val="21"/>
              </w:rPr>
              <w:t>每台电梯总分为100分，合格标准≥85分；考核得分＜85分的为不合格，每比85分低1分则扣减单台电梯维保费用100元，扣减费用（元）=（85－考核得分）×100。</w:t>
            </w:r>
          </w:p>
          <w:p>
            <w:pPr>
              <w:spacing w:line="360" w:lineRule="auto"/>
              <w:ind w:firstLine="420" w:firstLineChars="200"/>
              <w:rPr>
                <w:rFonts w:hAnsi="宋体" w:cs="宋体"/>
                <w:sz w:val="21"/>
                <w:szCs w:val="21"/>
              </w:rPr>
            </w:pPr>
            <w:r>
              <w:rPr>
                <w:rFonts w:hint="eastAsia" w:hAnsi="宋体" w:cs="宋体"/>
                <w:sz w:val="21"/>
                <w:szCs w:val="21"/>
              </w:rPr>
              <w:t>扣减费用在当期支付的服务费中扣减，若涉及多台电梯的问题，以此类推，若扣减费用超出维保费用，中标人须另行支付。</w:t>
            </w:r>
          </w:p>
          <w:p>
            <w:pPr>
              <w:spacing w:line="360" w:lineRule="auto"/>
              <w:ind w:firstLine="420" w:firstLineChars="200"/>
              <w:rPr>
                <w:rFonts w:hAnsi="宋体" w:cs="宋体"/>
                <w:sz w:val="21"/>
                <w:szCs w:val="21"/>
              </w:rPr>
            </w:pPr>
            <w:r>
              <w:rPr>
                <w:rFonts w:hint="eastAsia" w:hAnsi="宋体" w:cs="宋体"/>
                <w:sz w:val="21"/>
                <w:szCs w:val="21"/>
              </w:rPr>
              <w:t>6.考核标准：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748"/>
              <w:gridCol w:w="1604"/>
              <w:gridCol w:w="3385"/>
              <w:gridCol w:w="1489"/>
              <w:gridCol w:w="678"/>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0" w:type="auto"/>
                  <w:gridSpan w:val="7"/>
                  <w:noWrap w:val="0"/>
                  <w:vAlign w:val="center"/>
                </w:tcPr>
                <w:p>
                  <w:pPr>
                    <w:spacing w:line="360" w:lineRule="auto"/>
                    <w:jc w:val="center"/>
                    <w:rPr>
                      <w:rFonts w:hAnsi="宋体" w:cs="宋体"/>
                      <w:bCs/>
                      <w:sz w:val="21"/>
                      <w:szCs w:val="21"/>
                    </w:rPr>
                  </w:pPr>
                  <w:r>
                    <w:rPr>
                      <w:rFonts w:hint="eastAsia" w:hAnsi="宋体" w:cs="宋体"/>
                      <w:bCs/>
                      <w:sz w:val="21"/>
                      <w:szCs w:val="21"/>
                    </w:rPr>
                    <w:t>珠海市妇幼保健院</w:t>
                  </w:r>
                  <w:r>
                    <w:rPr>
                      <w:rFonts w:hint="eastAsia" w:hAnsi="宋体" w:cs="宋体"/>
                      <w:bCs/>
                      <w:sz w:val="21"/>
                      <w:szCs w:val="21"/>
                      <w:lang w:val="en-US" w:eastAsia="zh-CN"/>
                    </w:rPr>
                    <w:t>柠溪</w:t>
                  </w:r>
                  <w:r>
                    <w:rPr>
                      <w:rFonts w:hint="eastAsia" w:hAnsi="宋体" w:cs="宋体"/>
                      <w:bCs/>
                      <w:sz w:val="21"/>
                      <w:szCs w:val="21"/>
                    </w:rPr>
                    <w:t>院区电梯维保总评考核表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7"/>
                  <w:noWrap w:val="0"/>
                  <w:vAlign w:val="center"/>
                </w:tcPr>
                <w:p>
                  <w:pPr>
                    <w:spacing w:line="360" w:lineRule="auto"/>
                    <w:rPr>
                      <w:rFonts w:hAnsi="宋体" w:cs="宋体"/>
                      <w:sz w:val="21"/>
                      <w:szCs w:val="21"/>
                    </w:rPr>
                  </w:pPr>
                  <w:r>
                    <w:rPr>
                      <w:rFonts w:hint="eastAsia" w:hAnsi="宋体" w:cs="宋体"/>
                      <w:sz w:val="21"/>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序号</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电梯部位</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评估项目</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检查要求</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项目考核得分标准（分）</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考核得分</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存在的问题备注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w:t>
                  </w:r>
                </w:p>
              </w:tc>
              <w:tc>
                <w:tcPr>
                  <w:tcW w:w="0" w:type="auto"/>
                  <w:vMerge w:val="restart"/>
                  <w:noWrap w:val="0"/>
                  <w:vAlign w:val="center"/>
                </w:tcPr>
                <w:p>
                  <w:pPr>
                    <w:spacing w:line="360" w:lineRule="auto"/>
                    <w:jc w:val="center"/>
                    <w:rPr>
                      <w:rFonts w:hAnsi="宋体" w:cs="宋体"/>
                      <w:sz w:val="21"/>
                      <w:szCs w:val="21"/>
                    </w:rPr>
                  </w:pPr>
                  <w:r>
                    <w:rPr>
                      <w:rFonts w:hint="eastAsia" w:hAnsi="宋体" w:cs="宋体"/>
                      <w:sz w:val="21"/>
                      <w:szCs w:val="21"/>
                    </w:rPr>
                    <w:t>轿厢门</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电梯轿厢门开关速度</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开关门时应无碰撞，无摩擦</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2</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电梯轿厢门关闭状态</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轿厢门关门后上下对齐，无缝隙，无松动</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检查轿厢门刀、闸锁</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清洁、触点良好、接线可靠</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4</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电梯厅门三角门锁</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完整，洁净</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vMerge w:val="restart"/>
                  <w:noWrap w:val="0"/>
                  <w:vAlign w:val="center"/>
                </w:tcPr>
                <w:p>
                  <w:pPr>
                    <w:spacing w:line="360" w:lineRule="auto"/>
                    <w:jc w:val="center"/>
                    <w:rPr>
                      <w:rFonts w:hAnsi="宋体" w:cs="宋体"/>
                      <w:sz w:val="21"/>
                      <w:szCs w:val="21"/>
                    </w:rPr>
                  </w:pPr>
                  <w:r>
                    <w:rPr>
                      <w:rFonts w:hint="eastAsia" w:hAnsi="宋体" w:cs="宋体"/>
                      <w:sz w:val="21"/>
                      <w:szCs w:val="21"/>
                    </w:rPr>
                    <w:t>轿厢</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检查紧急按钮（警铃、五方对讲）</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按键试验清晰有效，通话清晰有效</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4</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6</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电梯轿厢地坎</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无摩擦</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7</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轿厢平层度</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电梯平层准确度±7mm</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8</w:t>
                  </w:r>
                </w:p>
              </w:tc>
              <w:tc>
                <w:tcPr>
                  <w:tcW w:w="0" w:type="auto"/>
                  <w:vMerge w:val="restart"/>
                  <w:noWrap w:val="0"/>
                  <w:vAlign w:val="center"/>
                </w:tcPr>
                <w:p>
                  <w:pPr>
                    <w:spacing w:line="360" w:lineRule="auto"/>
                    <w:jc w:val="center"/>
                    <w:rPr>
                      <w:rFonts w:hAnsi="宋体" w:cs="宋体"/>
                      <w:sz w:val="21"/>
                      <w:szCs w:val="21"/>
                    </w:rPr>
                  </w:pPr>
                  <w:r>
                    <w:rPr>
                      <w:rFonts w:hint="eastAsia" w:hAnsi="宋体" w:cs="宋体"/>
                      <w:sz w:val="21"/>
                      <w:szCs w:val="21"/>
                    </w:rPr>
                    <w:t>机房</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曳引机（电机）</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清洁、无积尘、无污渍，安全防护措施完善。</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9</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控制柜</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检查控制柜，电子板整洁、线路整齐、无粉尘。</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10</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机房环境</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机房环境整洁（无杂物）</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11</w:t>
                  </w:r>
                </w:p>
              </w:tc>
              <w:tc>
                <w:tcPr>
                  <w:tcW w:w="0" w:type="auto"/>
                  <w:vMerge w:val="restart"/>
                  <w:noWrap w:val="0"/>
                  <w:vAlign w:val="center"/>
                </w:tcPr>
                <w:p>
                  <w:pPr>
                    <w:spacing w:line="360" w:lineRule="auto"/>
                    <w:jc w:val="center"/>
                    <w:rPr>
                      <w:rFonts w:hAnsi="宋体" w:cs="宋体"/>
                      <w:sz w:val="21"/>
                      <w:szCs w:val="21"/>
                    </w:rPr>
                  </w:pPr>
                  <w:r>
                    <w:rPr>
                      <w:rFonts w:hint="eastAsia" w:hAnsi="宋体" w:cs="宋体"/>
                      <w:sz w:val="21"/>
                      <w:szCs w:val="21"/>
                    </w:rPr>
                    <w:t>井道底坑</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逃生门</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井道逃生门安全性能正常</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12</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井道设备</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井道设备无污渍，保养到位</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13</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井道照明</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井道照明完整，良好。</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4</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14</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底坑设备</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无杂物、安全装置良好</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4</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15</w:t>
                  </w:r>
                </w:p>
              </w:tc>
              <w:tc>
                <w:tcPr>
                  <w:tcW w:w="0" w:type="auto"/>
                  <w:vMerge w:val="restart"/>
                  <w:noWrap w:val="0"/>
                  <w:vAlign w:val="center"/>
                </w:tcPr>
                <w:p>
                  <w:pPr>
                    <w:spacing w:line="360" w:lineRule="auto"/>
                    <w:rPr>
                      <w:rFonts w:hAnsi="宋体" w:cs="宋体"/>
                      <w:sz w:val="21"/>
                      <w:szCs w:val="21"/>
                    </w:rPr>
                  </w:pPr>
                  <w:r>
                    <w:rPr>
                      <w:rFonts w:hint="eastAsia" w:hAnsi="宋体" w:cs="宋体"/>
                      <w:sz w:val="21"/>
                      <w:szCs w:val="21"/>
                    </w:rPr>
                    <w:t>计划记录</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维修、保养记录</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维修记录填写清晰、完整。</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16</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维保执行力度</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严格按照维保计划执行维保工作</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17</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维保计划</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每月25日提交下月维保工作计划</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18</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运行报告</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每月5日之前提交上月的电梯运行报告</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3</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19</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工作效率</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工作效率</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不涉及配件的情况下，一般故障4小时内解决；大型故障48小时内解决，特殊情况另行协商</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20</w:t>
                  </w:r>
                </w:p>
              </w:tc>
              <w:tc>
                <w:tcPr>
                  <w:tcW w:w="0" w:type="auto"/>
                  <w:noWrap w:val="0"/>
                  <w:vAlign w:val="center"/>
                </w:tcPr>
                <w:p>
                  <w:pPr>
                    <w:spacing w:line="360" w:lineRule="auto"/>
                    <w:rPr>
                      <w:rFonts w:hAnsi="宋体" w:cs="宋体"/>
                      <w:sz w:val="21"/>
                      <w:szCs w:val="21"/>
                    </w:rPr>
                  </w:pPr>
                  <w:r>
                    <w:rPr>
                      <w:rFonts w:hint="eastAsia" w:hAnsi="宋体" w:cs="宋体"/>
                      <w:sz w:val="21"/>
                      <w:szCs w:val="21"/>
                    </w:rPr>
                    <w:t>响应速度</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响应速度</w:t>
                  </w:r>
                </w:p>
              </w:tc>
              <w:tc>
                <w:tcPr>
                  <w:tcW w:w="0" w:type="auto"/>
                  <w:noWrap w:val="0"/>
                  <w:vAlign w:val="center"/>
                </w:tcPr>
                <w:p>
                  <w:pPr>
                    <w:spacing w:line="360" w:lineRule="auto"/>
                    <w:rPr>
                      <w:rFonts w:hint="eastAsia" w:hAnsi="宋体" w:cs="宋体"/>
                      <w:sz w:val="21"/>
                      <w:szCs w:val="21"/>
                    </w:rPr>
                  </w:pPr>
                  <w:r>
                    <w:rPr>
                      <w:rFonts w:hint="eastAsia" w:ascii="仿宋" w:hAnsi="宋体" w:eastAsia="仿宋" w:cs="宋体"/>
                      <w:sz w:val="21"/>
                      <w:szCs w:val="21"/>
                      <w:highlight w:val="none"/>
                    </w:rPr>
                    <w:t>故障召修</w:t>
                  </w:r>
                  <w:r>
                    <w:rPr>
                      <w:rFonts w:hint="eastAsia" w:ascii="仿宋" w:hAnsi="宋体" w:eastAsia="仿宋" w:cs="宋体"/>
                      <w:sz w:val="21"/>
                      <w:szCs w:val="21"/>
                      <w:highlight w:val="none"/>
                      <w:lang w:val="en-US" w:eastAsia="zh-CN"/>
                    </w:rPr>
                    <w:t>及困梯30</w:t>
                  </w:r>
                  <w:r>
                    <w:rPr>
                      <w:rFonts w:hint="eastAsia" w:ascii="仿宋" w:hAnsi="宋体" w:eastAsia="仿宋" w:cs="宋体"/>
                      <w:sz w:val="21"/>
                      <w:szCs w:val="21"/>
                      <w:highlight w:val="none"/>
                    </w:rPr>
                    <w:t>分钟到达处理</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21</w:t>
                  </w:r>
                </w:p>
              </w:tc>
              <w:tc>
                <w:tcPr>
                  <w:tcW w:w="0" w:type="auto"/>
                  <w:vMerge w:val="restart"/>
                  <w:noWrap w:val="0"/>
                  <w:vAlign w:val="center"/>
                </w:tcPr>
                <w:p>
                  <w:pPr>
                    <w:spacing w:line="360" w:lineRule="auto"/>
                    <w:jc w:val="center"/>
                    <w:rPr>
                      <w:rFonts w:hAnsi="宋体" w:cs="宋体"/>
                      <w:sz w:val="21"/>
                      <w:szCs w:val="21"/>
                    </w:rPr>
                  </w:pPr>
                  <w:r>
                    <w:rPr>
                      <w:rFonts w:hint="eastAsia" w:hAnsi="宋体" w:cs="宋体"/>
                      <w:sz w:val="21"/>
                      <w:szCs w:val="21"/>
                    </w:rPr>
                    <w:t>文明施工</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施工安全告示</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电梯维修保养时严格做好有效的围蔽防护措施以及有关的告示。</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22</w:t>
                  </w:r>
                </w:p>
              </w:tc>
              <w:tc>
                <w:tcPr>
                  <w:tcW w:w="0" w:type="auto"/>
                  <w:vMerge w:val="continue"/>
                  <w:noWrap w:val="0"/>
                  <w:vAlign w:val="center"/>
                </w:tcPr>
                <w:p>
                  <w:pPr>
                    <w:spacing w:line="360" w:lineRule="auto"/>
                    <w:rPr>
                      <w:rFonts w:hAnsi="宋体" w:cs="宋体"/>
                      <w:sz w:val="21"/>
                      <w:szCs w:val="21"/>
                    </w:rPr>
                  </w:pP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仪容仪表</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人员应穿着整洁的工作服</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5</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23</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设备故障率</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重复故障次数</w:t>
                  </w:r>
                </w:p>
              </w:tc>
              <w:tc>
                <w:tcPr>
                  <w:tcW w:w="0" w:type="auto"/>
                  <w:noWrap w:val="0"/>
                  <w:vAlign w:val="center"/>
                </w:tcPr>
                <w:p>
                  <w:pPr>
                    <w:spacing w:line="360" w:lineRule="auto"/>
                    <w:rPr>
                      <w:rFonts w:hint="eastAsia" w:hAnsi="宋体" w:cs="宋体"/>
                      <w:sz w:val="21"/>
                      <w:szCs w:val="21"/>
                    </w:rPr>
                  </w:pPr>
                  <w:r>
                    <w:rPr>
                      <w:rFonts w:hint="eastAsia" w:hAnsi="宋体" w:cs="宋体"/>
                      <w:sz w:val="21"/>
                      <w:szCs w:val="21"/>
                    </w:rPr>
                    <w:t>每月每台电梯因维保原因导致同样的故障不超过1次，超一次扣2分</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10　</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noWrap w:val="0"/>
                  <w:vAlign w:val="center"/>
                </w:tcPr>
                <w:p>
                  <w:pPr>
                    <w:spacing w:line="360" w:lineRule="auto"/>
                    <w:jc w:val="center"/>
                    <w:rPr>
                      <w:rFonts w:hAnsi="宋体" w:cs="宋体"/>
                      <w:sz w:val="21"/>
                      <w:szCs w:val="21"/>
                    </w:rPr>
                  </w:pPr>
                  <w:r>
                    <w:rPr>
                      <w:rFonts w:hint="eastAsia" w:hAnsi="宋体" w:cs="宋体"/>
                      <w:sz w:val="21"/>
                      <w:szCs w:val="21"/>
                    </w:rPr>
                    <w:t>24</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其它</w:t>
                  </w:r>
                </w:p>
              </w:tc>
              <w:tc>
                <w:tcPr>
                  <w:tcW w:w="0" w:type="auto"/>
                  <w:noWrap w:val="0"/>
                  <w:vAlign w:val="center"/>
                </w:tcPr>
                <w:p>
                  <w:pPr>
                    <w:spacing w:line="360" w:lineRule="auto"/>
                    <w:rPr>
                      <w:rFonts w:hAnsi="宋体" w:cs="宋体"/>
                      <w:sz w:val="21"/>
                      <w:szCs w:val="21"/>
                    </w:rPr>
                  </w:pPr>
                  <w:r>
                    <w:rPr>
                      <w:rFonts w:hint="eastAsia" w:hAnsi="宋体" w:cs="宋体"/>
                      <w:sz w:val="21"/>
                      <w:szCs w:val="21"/>
                    </w:rPr>
                    <w:t>困梯</w:t>
                  </w:r>
                </w:p>
              </w:tc>
              <w:tc>
                <w:tcPr>
                  <w:tcW w:w="0" w:type="auto"/>
                  <w:noWrap w:val="0"/>
                  <w:vAlign w:val="center"/>
                </w:tcPr>
                <w:p>
                  <w:pPr>
                    <w:spacing w:line="360" w:lineRule="auto"/>
                    <w:rPr>
                      <w:rFonts w:hAnsi="宋体" w:cs="宋体"/>
                      <w:sz w:val="21"/>
                      <w:szCs w:val="21"/>
                    </w:rPr>
                  </w:pPr>
                  <w:r>
                    <w:rPr>
                      <w:rFonts w:hint="eastAsia" w:hAnsi="宋体" w:cs="宋体"/>
                      <w:sz w:val="21"/>
                      <w:szCs w:val="21"/>
                    </w:rPr>
                    <w:t>每次扣一分</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9</w:t>
                  </w:r>
                </w:p>
              </w:tc>
              <w:tc>
                <w:tcPr>
                  <w:tcW w:w="0" w:type="auto"/>
                  <w:noWrap w:val="0"/>
                  <w:vAlign w:val="center"/>
                </w:tcPr>
                <w:p>
                  <w:pPr>
                    <w:spacing w:line="360" w:lineRule="auto"/>
                    <w:jc w:val="center"/>
                    <w:rPr>
                      <w:rFonts w:hAnsi="宋体" w:cs="宋体"/>
                      <w:sz w:val="21"/>
                      <w:szCs w:val="21"/>
                    </w:rPr>
                  </w:pP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gridSpan w:val="4"/>
                  <w:noWrap w:val="0"/>
                  <w:vAlign w:val="center"/>
                </w:tcPr>
                <w:p>
                  <w:pPr>
                    <w:spacing w:line="360" w:lineRule="auto"/>
                    <w:jc w:val="center"/>
                    <w:rPr>
                      <w:rFonts w:hAnsi="宋体" w:cs="宋体"/>
                      <w:sz w:val="21"/>
                      <w:szCs w:val="21"/>
                    </w:rPr>
                  </w:pPr>
                  <w:r>
                    <w:rPr>
                      <w:rFonts w:hint="eastAsia" w:hAnsi="宋体" w:cs="宋体"/>
                      <w:sz w:val="21"/>
                      <w:szCs w:val="21"/>
                    </w:rPr>
                    <w:t>合计</w:t>
                  </w:r>
                </w:p>
              </w:tc>
              <w:tc>
                <w:tcPr>
                  <w:tcW w:w="0" w:type="auto"/>
                  <w:noWrap w:val="0"/>
                  <w:vAlign w:val="center"/>
                </w:tcPr>
                <w:p>
                  <w:pPr>
                    <w:spacing w:line="360" w:lineRule="auto"/>
                    <w:jc w:val="center"/>
                    <w:rPr>
                      <w:rFonts w:hAnsi="宋体" w:cs="宋体"/>
                      <w:sz w:val="21"/>
                      <w:szCs w:val="21"/>
                    </w:rPr>
                  </w:pPr>
                  <w:r>
                    <w:rPr>
                      <w:rFonts w:hint="eastAsia" w:hAnsi="宋体" w:cs="宋体"/>
                      <w:sz w:val="21"/>
                      <w:szCs w:val="21"/>
                    </w:rPr>
                    <w:t>100</w:t>
                  </w:r>
                </w:p>
              </w:tc>
              <w:tc>
                <w:tcPr>
                  <w:tcW w:w="0" w:type="auto"/>
                  <w:noWrap w:val="0"/>
                  <w:vAlign w:val="center"/>
                </w:tcPr>
                <w:p>
                  <w:pPr>
                    <w:spacing w:line="360" w:lineRule="auto"/>
                    <w:jc w:val="center"/>
                    <w:rPr>
                      <w:rFonts w:hAnsi="宋体" w:cs="宋体"/>
                      <w:b/>
                      <w:bCs/>
                      <w:sz w:val="21"/>
                      <w:szCs w:val="21"/>
                    </w:rPr>
                  </w:pPr>
                </w:p>
              </w:tc>
              <w:tc>
                <w:tcPr>
                  <w:tcW w:w="0" w:type="auto"/>
                  <w:noWrap w:val="0"/>
                  <w:vAlign w:val="center"/>
                </w:tcPr>
                <w:p>
                  <w:pPr>
                    <w:spacing w:line="360" w:lineRule="auto"/>
                    <w:jc w:val="center"/>
                    <w:rPr>
                      <w:rFonts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0" w:type="auto"/>
                  <w:gridSpan w:val="6"/>
                  <w:noWrap w:val="0"/>
                  <w:vAlign w:val="center"/>
                </w:tcPr>
                <w:p>
                  <w:pPr>
                    <w:spacing w:line="360" w:lineRule="auto"/>
                    <w:jc w:val="center"/>
                    <w:rPr>
                      <w:rFonts w:hAnsi="宋体" w:cs="宋体"/>
                      <w:sz w:val="21"/>
                      <w:szCs w:val="21"/>
                    </w:rPr>
                  </w:pPr>
                  <w:r>
                    <w:rPr>
                      <w:rFonts w:hint="eastAsia" w:hAnsi="宋体" w:cs="宋体"/>
                      <w:sz w:val="21"/>
                      <w:szCs w:val="21"/>
                    </w:rPr>
                    <w:t>当月总评</w:t>
                  </w:r>
                </w:p>
              </w:tc>
              <w:tc>
                <w:tcPr>
                  <w:tcW w:w="0" w:type="auto"/>
                  <w:noWrap w:val="0"/>
                  <w:vAlign w:val="center"/>
                </w:tcPr>
                <w:p>
                  <w:pPr>
                    <w:spacing w:line="360" w:lineRule="auto"/>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vMerge w:val="restart"/>
                  <w:noWrap w:val="0"/>
                  <w:vAlign w:val="center"/>
                </w:tcPr>
                <w:p>
                  <w:pPr>
                    <w:spacing w:line="360" w:lineRule="auto"/>
                    <w:jc w:val="center"/>
                    <w:rPr>
                      <w:rFonts w:hAnsi="宋体" w:cs="宋体"/>
                      <w:sz w:val="21"/>
                      <w:szCs w:val="21"/>
                    </w:rPr>
                  </w:pPr>
                  <w:r>
                    <w:rPr>
                      <w:rFonts w:hint="eastAsia" w:hAnsi="宋体" w:cs="宋体"/>
                      <w:sz w:val="21"/>
                      <w:szCs w:val="21"/>
                    </w:rPr>
                    <w:t>备注</w:t>
                  </w:r>
                </w:p>
              </w:tc>
              <w:tc>
                <w:tcPr>
                  <w:tcW w:w="0" w:type="auto"/>
                  <w:gridSpan w:val="6"/>
                  <w:noWrap w:val="0"/>
                  <w:vAlign w:val="center"/>
                </w:tcPr>
                <w:p>
                  <w:pPr>
                    <w:spacing w:line="360" w:lineRule="auto"/>
                    <w:rPr>
                      <w:rFonts w:hAnsi="宋体" w:cs="宋体"/>
                      <w:sz w:val="21"/>
                      <w:szCs w:val="21"/>
                    </w:rPr>
                  </w:pPr>
                  <w:r>
                    <w:rPr>
                      <w:rFonts w:hint="eastAsia" w:hAnsi="宋体" w:cs="宋体"/>
                      <w:sz w:val="21"/>
                      <w:szCs w:val="21"/>
                    </w:rPr>
                    <w:t>1.考评依据：</w:t>
                  </w:r>
                  <w:r>
                    <w:rPr>
                      <w:rFonts w:hint="eastAsia" w:hAnsi="宋体" w:cs="宋体"/>
                      <w:bCs/>
                      <w:sz w:val="21"/>
                      <w:szCs w:val="21"/>
                    </w:rPr>
                    <w:t>根据</w:t>
                  </w:r>
                  <w:r>
                    <w:rPr>
                      <w:rFonts w:hint="eastAsia" w:hAnsi="宋体" w:cs="宋体"/>
                      <w:bCs/>
                      <w:sz w:val="21"/>
                      <w:szCs w:val="21"/>
                      <w:lang w:eastAsia="zh-CN"/>
                    </w:rPr>
                    <w:t>该项目合同</w:t>
                  </w:r>
                  <w:r>
                    <w:rPr>
                      <w:rFonts w:hint="eastAsia" w:hAnsi="宋体" w:cs="宋体"/>
                      <w:bCs/>
                      <w:sz w:val="21"/>
                      <w:szCs w:val="21"/>
                    </w:rPr>
                    <w:t>及电梯运行的实际状况对中标人进行百分制考核。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0" w:type="auto"/>
                  <w:vMerge w:val="continue"/>
                  <w:shd w:val="clear" w:color="auto" w:fill="auto"/>
                  <w:noWrap w:val="0"/>
                  <w:vAlign w:val="center"/>
                </w:tcPr>
                <w:p>
                  <w:pPr>
                    <w:spacing w:line="360" w:lineRule="auto"/>
                    <w:rPr>
                      <w:rFonts w:hAnsi="宋体" w:cs="宋体"/>
                      <w:sz w:val="21"/>
                      <w:szCs w:val="21"/>
                    </w:rPr>
                  </w:pPr>
                </w:p>
              </w:tc>
              <w:tc>
                <w:tcPr>
                  <w:tcW w:w="0" w:type="auto"/>
                  <w:gridSpan w:val="6"/>
                  <w:shd w:val="clear" w:color="auto" w:fill="FFFFFF"/>
                  <w:noWrap w:val="0"/>
                  <w:vAlign w:val="center"/>
                </w:tcPr>
                <w:p>
                  <w:pPr>
                    <w:spacing w:line="360" w:lineRule="auto"/>
                    <w:rPr>
                      <w:rFonts w:hAnsi="宋体" w:cs="宋体"/>
                      <w:sz w:val="21"/>
                      <w:szCs w:val="21"/>
                    </w:rPr>
                  </w:pPr>
                  <w:r>
                    <w:rPr>
                      <w:rFonts w:hint="eastAsia" w:hAnsi="宋体" w:cs="宋体"/>
                      <w:sz w:val="21"/>
                      <w:szCs w:val="21"/>
                    </w:rPr>
                    <w:t>2.考评方式：日常检查、周检、月检、维修服务、月维保报告相结合综合，</w:t>
                  </w:r>
                  <w:r>
                    <w:rPr>
                      <w:rFonts w:hint="eastAsia" w:hAnsi="宋体" w:cs="宋体"/>
                      <w:sz w:val="21"/>
                      <w:szCs w:val="21"/>
                      <w:lang w:val="en-US" w:eastAsia="zh-CN"/>
                    </w:rPr>
                    <w:t>5号楼共有</w:t>
                  </w:r>
                  <w:r>
                    <w:rPr>
                      <w:rStyle w:val="27"/>
                      <w:sz w:val="21"/>
                      <w:szCs w:val="21"/>
                    </w:rPr>
                    <w:t>6</w:t>
                  </w:r>
                  <w:r>
                    <w:rPr>
                      <w:rStyle w:val="27"/>
                      <w:rFonts w:hint="default"/>
                      <w:sz w:val="21"/>
                      <w:szCs w:val="21"/>
                      <w:lang w:val="en-US" w:eastAsia="zh-CN"/>
                    </w:rPr>
                    <w:t>台垂直</w:t>
                  </w:r>
                  <w:r>
                    <w:rPr>
                      <w:rFonts w:hint="default" w:hAnsi="宋体" w:cs="宋体"/>
                      <w:sz w:val="21"/>
                      <w:szCs w:val="21"/>
                    </w:rPr>
                    <w:t>梯</w:t>
                  </w:r>
                  <w:r>
                    <w:rPr>
                      <w:rFonts w:hint="default" w:hAnsi="宋体" w:cs="宋体"/>
                      <w:sz w:val="21"/>
                      <w:szCs w:val="21"/>
                      <w:lang w:val="en-US" w:eastAsia="zh-CN"/>
                    </w:rPr>
                    <w:t>及4台扶手电梯</w:t>
                  </w:r>
                  <w:r>
                    <w:rPr>
                      <w:rFonts w:hint="eastAsia" w:hAnsi="宋体" w:cs="宋体"/>
                      <w:sz w:val="21"/>
                      <w:szCs w:val="21"/>
                    </w:rPr>
                    <w:t>综合评分，每季度首月5日之前考核上季度电梯维保情况。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spacing w:line="360" w:lineRule="auto"/>
                    <w:rPr>
                      <w:rFonts w:hAnsi="宋体" w:cs="宋体"/>
                      <w:sz w:val="21"/>
                      <w:szCs w:val="21"/>
                    </w:rPr>
                  </w:pPr>
                </w:p>
              </w:tc>
              <w:tc>
                <w:tcPr>
                  <w:tcW w:w="0" w:type="auto"/>
                  <w:gridSpan w:val="6"/>
                  <w:noWrap w:val="0"/>
                  <w:vAlign w:val="center"/>
                </w:tcPr>
                <w:p>
                  <w:pPr>
                    <w:spacing w:line="360" w:lineRule="auto"/>
                    <w:rPr>
                      <w:rFonts w:hAnsi="宋体" w:cs="宋体"/>
                      <w:sz w:val="21"/>
                      <w:szCs w:val="21"/>
                    </w:rPr>
                  </w:pPr>
                  <w:r>
                    <w:rPr>
                      <w:rFonts w:hint="eastAsia" w:hAnsi="宋体" w:cs="宋体"/>
                      <w:sz w:val="21"/>
                      <w:szCs w:val="21"/>
                    </w:rPr>
                    <w:t>3.考评得分在考核得分空格处填写。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pPr>
                    <w:spacing w:line="360" w:lineRule="auto"/>
                    <w:rPr>
                      <w:rFonts w:hAnsi="宋体" w:cs="宋体"/>
                      <w:sz w:val="21"/>
                      <w:szCs w:val="21"/>
                    </w:rPr>
                  </w:pPr>
                </w:p>
              </w:tc>
              <w:tc>
                <w:tcPr>
                  <w:tcW w:w="0" w:type="auto"/>
                  <w:gridSpan w:val="6"/>
                  <w:noWrap w:val="0"/>
                  <w:vAlign w:val="center"/>
                </w:tcPr>
                <w:p>
                  <w:pPr>
                    <w:spacing w:line="360" w:lineRule="auto"/>
                    <w:rPr>
                      <w:rFonts w:hAnsi="宋体" w:cs="宋体"/>
                      <w:sz w:val="21"/>
                      <w:szCs w:val="21"/>
                    </w:rPr>
                  </w:pPr>
                  <w:r>
                    <w:rPr>
                      <w:rFonts w:hint="eastAsia" w:hAnsi="宋体" w:cs="宋体"/>
                      <w:sz w:val="21"/>
                      <w:szCs w:val="21"/>
                    </w:rPr>
                    <w:t>4.每台电梯总分为100分，合格标准≥85分；考核得分＜85分的为不合格，每比85分低1分则扣减单台电梯维保费用100元，扣减费用（元）=（85－考核得分）×100。扣减费用在当期支付的服务费中扣减，若涉及多台电梯的问题，以此类推，若扣减费用超出维保费用，中标人须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7"/>
                  <w:noWrap w:val="0"/>
                  <w:vAlign w:val="center"/>
                </w:tcPr>
                <w:p>
                  <w:pPr>
                    <w:spacing w:line="360" w:lineRule="auto"/>
                    <w:rPr>
                      <w:rFonts w:hAnsi="宋体" w:cs="宋体"/>
                      <w:sz w:val="21"/>
                      <w:szCs w:val="21"/>
                    </w:rPr>
                  </w:pPr>
                  <w:r>
                    <w:rPr>
                      <w:rFonts w:hint="eastAsia" w:hAnsi="宋体" w:cs="宋体"/>
                      <w:sz w:val="21"/>
                      <w:szCs w:val="21"/>
                    </w:rPr>
                    <w:t xml:space="preserve">维保单位签名：              考评人员：                  复核：            审核：                                                                                                                                                                                                                                                                                                                                                                                             </w:t>
                  </w:r>
                </w:p>
              </w:tc>
            </w:tr>
          </w:tbl>
          <w:p>
            <w:pPr>
              <w:spacing w:line="360" w:lineRule="auto"/>
              <w:ind w:firstLine="420" w:firstLineChars="200"/>
              <w:rPr>
                <w:rFonts w:hAnsi="宋体" w:cs="宋体"/>
                <w:sz w:val="21"/>
                <w:szCs w:val="21"/>
              </w:rPr>
            </w:pPr>
          </w:p>
          <w:p>
            <w:pPr>
              <w:spacing w:line="360" w:lineRule="auto"/>
              <w:ind w:firstLine="422" w:firstLineChars="200"/>
              <w:rPr>
                <w:rFonts w:hAnsi="宋体" w:cs="宋体"/>
                <w:sz w:val="21"/>
                <w:szCs w:val="21"/>
              </w:rPr>
            </w:pPr>
            <w:r>
              <w:rPr>
                <w:rFonts w:hint="eastAsia" w:hAnsi="宋体"/>
                <w:b/>
                <w:sz w:val="21"/>
                <w:szCs w:val="21"/>
              </w:rPr>
              <w:t>配件更换</w:t>
            </w:r>
          </w:p>
          <w:p>
            <w:pPr>
              <w:spacing w:line="360" w:lineRule="auto"/>
              <w:ind w:firstLine="420" w:firstLineChars="200"/>
              <w:rPr>
                <w:rFonts w:hint="eastAsia" w:hAnsi="宋体" w:cs="宋体"/>
                <w:sz w:val="21"/>
                <w:szCs w:val="21"/>
              </w:rPr>
            </w:pPr>
            <w:r>
              <w:rPr>
                <w:rFonts w:hint="eastAsia" w:hAnsi="宋体" w:cs="宋体"/>
                <w:sz w:val="21"/>
                <w:szCs w:val="21"/>
              </w:rPr>
              <w:t>单价500元（含500元）以下正常损坏的配件，由中标人负责更换，其费用已包含在合同总价中。这些配件包括但不限于以下</w:t>
            </w:r>
            <w:r>
              <w:rPr>
                <w:rFonts w:hint="eastAsia" w:hAnsi="宋体" w:cs="宋体"/>
                <w:sz w:val="21"/>
                <w:szCs w:val="21"/>
                <w:lang w:eastAsia="zh-CN"/>
              </w:rPr>
              <w:t>材料配件</w:t>
            </w:r>
            <w:r>
              <w:rPr>
                <w:rFonts w:hint="eastAsia" w:hAnsi="宋体" w:cs="宋体"/>
                <w:sz w:val="21"/>
                <w:szCs w:val="21"/>
              </w:rPr>
              <w:t>明细</w:t>
            </w:r>
            <w:r>
              <w:rPr>
                <w:rFonts w:hint="eastAsia" w:hAnsi="宋体" w:cs="宋体"/>
                <w:sz w:val="21"/>
                <w:szCs w:val="21"/>
                <w:lang w:eastAsia="zh-CN"/>
              </w:rPr>
              <w:t>表。</w:t>
            </w:r>
            <w:r>
              <w:rPr>
                <w:rFonts w:hint="eastAsia" w:hAnsi="宋体" w:cs="Times New Roman"/>
                <w:b w:val="0"/>
                <w:color w:val="auto"/>
                <w:kern w:val="0"/>
                <w:sz w:val="21"/>
                <w:szCs w:val="21"/>
                <w:lang w:val="en-US" w:eastAsia="zh-CN"/>
              </w:rPr>
              <w:t>维修配件单价大于500元的，提供明细清单及报价，报归口管理科审核同意后进行维修，中标人负责免人工费维修。</w:t>
            </w:r>
          </w:p>
          <w:p>
            <w:pPr>
              <w:pStyle w:val="2"/>
              <w:jc w:val="center"/>
            </w:pPr>
            <w:r>
              <w:rPr>
                <w:rFonts w:hint="eastAsia"/>
              </w:rPr>
              <w:t>材料配件明细表</w:t>
            </w:r>
          </w:p>
          <w:tbl>
            <w:tblPr>
              <w:tblStyle w:val="16"/>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22"/>
              <w:gridCol w:w="2201"/>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0"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序号</w:t>
                  </w: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零部件名称</w:t>
                  </w:r>
                </w:p>
              </w:tc>
              <w:tc>
                <w:tcPr>
                  <w:tcW w:w="2201" w:type="dxa"/>
                  <w:noWrap w:val="0"/>
                  <w:vAlign w:val="center"/>
                </w:tcPr>
                <w:p>
                  <w:pPr>
                    <w:spacing w:line="360" w:lineRule="auto"/>
                    <w:jc w:val="center"/>
                    <w:textAlignment w:val="center"/>
                    <w:rPr>
                      <w:rFonts w:hAnsi="宋体" w:cs="宋体"/>
                      <w:sz w:val="21"/>
                      <w:szCs w:val="21"/>
                    </w:rPr>
                  </w:pPr>
                  <w:r>
                    <w:rPr>
                      <w:rFonts w:hint="eastAsia" w:hAnsi="宋体" w:cs="宋体"/>
                      <w:sz w:val="21"/>
                      <w:szCs w:val="21"/>
                      <w:lang w:bidi="ar"/>
                    </w:rPr>
                    <w:t>单位</w:t>
                  </w:r>
                </w:p>
              </w:tc>
              <w:tc>
                <w:tcPr>
                  <w:tcW w:w="2201" w:type="dxa"/>
                  <w:noWrap w:val="0"/>
                  <w:vAlign w:val="center"/>
                </w:tcPr>
                <w:p>
                  <w:pPr>
                    <w:spacing w:line="360" w:lineRule="auto"/>
                    <w:jc w:val="center"/>
                    <w:textAlignment w:val="center"/>
                    <w:rPr>
                      <w:rFonts w:hint="eastAsia" w:hAnsi="宋体" w:eastAsia="宋体" w:cs="宋体"/>
                      <w:sz w:val="21"/>
                      <w:szCs w:val="21"/>
                      <w:lang w:val="en-US" w:eastAsia="zh-CN" w:bidi="ar"/>
                    </w:rPr>
                  </w:pPr>
                  <w:r>
                    <w:rPr>
                      <w:rFonts w:hint="eastAsia" w:hAnsi="宋体" w:cs="宋体"/>
                      <w:sz w:val="21"/>
                      <w:szCs w:val="21"/>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梳齿板</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块</w:t>
                  </w:r>
                </w:p>
              </w:tc>
              <w:tc>
                <w:tcPr>
                  <w:tcW w:w="2201" w:type="dxa"/>
                  <w:noWrap/>
                  <w:vAlign w:val="center"/>
                </w:tcPr>
                <w:p>
                  <w:pPr>
                    <w:spacing w:line="360" w:lineRule="auto"/>
                    <w:jc w:val="center"/>
                    <w:textAlignment w:val="center"/>
                    <w:rPr>
                      <w:rFonts w:hint="default" w:hAnsi="宋体" w:eastAsia="宋体" w:cs="宋体"/>
                      <w:sz w:val="21"/>
                      <w:szCs w:val="21"/>
                      <w:lang w:val="en-US" w:eastAsia="zh-CN"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厅门弹簧</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急停开关</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导轨润滑油</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桶</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靴衬</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厅门门滚轮</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轿厢风扇</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rPr>
                    <w:t>轿顶急停开关</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警铃</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内外呼按钮</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机房急停开关</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轿门门滚轮</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时间继电器</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缓冲器开关</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灯管</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支</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油杯</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rPr>
                  </w:pPr>
                </w:p>
              </w:tc>
              <w:tc>
                <w:tcPr>
                  <w:tcW w:w="3022"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安全触板开关</w:t>
                  </w:r>
                </w:p>
              </w:tc>
              <w:tc>
                <w:tcPr>
                  <w:tcW w:w="2201" w:type="dxa"/>
                  <w:noWrap/>
                  <w:vAlign w:val="center"/>
                </w:tcPr>
                <w:p>
                  <w:pPr>
                    <w:spacing w:line="360" w:lineRule="auto"/>
                    <w:jc w:val="center"/>
                    <w:textAlignment w:val="center"/>
                    <w:rPr>
                      <w:rFonts w:hAnsi="宋体" w:cs="宋体"/>
                      <w:sz w:val="21"/>
                      <w:szCs w:val="21"/>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滑块</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块</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限位开关</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梯级边条</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根</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底坑急停开关</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蜂鸣器</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护壁板支撑板衬边胶</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空气开关</w:t>
                  </w:r>
                </w:p>
              </w:tc>
              <w:tc>
                <w:tcPr>
                  <w:tcW w:w="2201" w:type="dxa"/>
                  <w:noWrap/>
                  <w:vAlign w:val="center"/>
                </w:tcPr>
                <w:p>
                  <w:pPr>
                    <w:spacing w:line="360" w:lineRule="auto"/>
                    <w:jc w:val="center"/>
                    <w:textAlignment w:val="center"/>
                    <w:rPr>
                      <w:rFonts w:hAnsi="宋体" w:cs="宋体"/>
                      <w:kern w:val="2"/>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温度保险丝</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门机皮带</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井道行程开关</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限速器开关</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门滑块</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lang w:val="en-US" w:eastAsia="zh-CN"/>
                    </w:rPr>
                    <w:t>照明</w:t>
                  </w:r>
                  <w:r>
                    <w:rPr>
                      <w:rFonts w:hint="eastAsia" w:hAnsi="宋体" w:cs="宋体"/>
                      <w:kern w:val="2"/>
                      <w:sz w:val="21"/>
                      <w:szCs w:val="21"/>
                    </w:rPr>
                    <w:t>开关电源</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lang w:val="en-US" w:eastAsia="zh-CN"/>
                    </w:rPr>
                    <w:t>门机</w:t>
                  </w:r>
                  <w:r>
                    <w:rPr>
                      <w:rFonts w:hint="eastAsia" w:hAnsi="宋体" w:cs="宋体"/>
                      <w:kern w:val="2"/>
                      <w:sz w:val="21"/>
                      <w:szCs w:val="21"/>
                    </w:rPr>
                    <w:t>制动电阻</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应急电源</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轿内锁</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厅外断开装置</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轿厢照明灯管</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780" w:type="dxa"/>
                  <w:noWrap/>
                  <w:vAlign w:val="center"/>
                </w:tcPr>
                <w:p>
                  <w:pPr>
                    <w:numPr>
                      <w:ilvl w:val="0"/>
                      <w:numId w:val="2"/>
                    </w:numPr>
                    <w:spacing w:line="360" w:lineRule="auto"/>
                    <w:jc w:val="center"/>
                    <w:textAlignment w:val="center"/>
                    <w:rPr>
                      <w:rFonts w:hAnsi="宋体" w:cs="宋体"/>
                      <w:sz w:val="21"/>
                      <w:szCs w:val="21"/>
                      <w:lang w:bidi="ar"/>
                    </w:rPr>
                  </w:pPr>
                </w:p>
              </w:tc>
              <w:tc>
                <w:tcPr>
                  <w:tcW w:w="3022" w:type="dxa"/>
                  <w:noWrap/>
                  <w:vAlign w:val="center"/>
                </w:tcPr>
                <w:p>
                  <w:pPr>
                    <w:spacing w:line="360" w:lineRule="auto"/>
                    <w:jc w:val="center"/>
                    <w:rPr>
                      <w:rFonts w:hAnsi="宋体" w:cs="宋体"/>
                      <w:kern w:val="2"/>
                      <w:sz w:val="21"/>
                      <w:szCs w:val="21"/>
                    </w:rPr>
                  </w:pPr>
                  <w:r>
                    <w:rPr>
                      <w:rFonts w:hint="eastAsia" w:hAnsi="宋体" w:cs="宋体"/>
                      <w:kern w:val="2"/>
                      <w:sz w:val="21"/>
                      <w:szCs w:val="21"/>
                    </w:rPr>
                    <w:t>张紧轮开关</w:t>
                  </w:r>
                </w:p>
              </w:tc>
              <w:tc>
                <w:tcPr>
                  <w:tcW w:w="2201" w:type="dxa"/>
                  <w:noWrap/>
                  <w:vAlign w:val="center"/>
                </w:tcPr>
                <w:p>
                  <w:pPr>
                    <w:spacing w:line="360" w:lineRule="auto"/>
                    <w:jc w:val="center"/>
                    <w:textAlignment w:val="center"/>
                    <w:rPr>
                      <w:rFonts w:hAnsi="宋体" w:cs="宋体"/>
                      <w:sz w:val="21"/>
                      <w:szCs w:val="21"/>
                      <w:lang w:bidi="ar"/>
                    </w:rPr>
                  </w:pPr>
                  <w:r>
                    <w:rPr>
                      <w:rFonts w:hint="eastAsia" w:hAnsi="宋体" w:cs="宋体"/>
                      <w:sz w:val="21"/>
                      <w:szCs w:val="21"/>
                      <w:lang w:bidi="ar"/>
                    </w:rPr>
                    <w:t>个</w:t>
                  </w:r>
                </w:p>
              </w:tc>
              <w:tc>
                <w:tcPr>
                  <w:tcW w:w="2201" w:type="dxa"/>
                  <w:noWrap/>
                  <w:vAlign w:val="center"/>
                </w:tcPr>
                <w:p>
                  <w:pPr>
                    <w:spacing w:line="360" w:lineRule="auto"/>
                    <w:jc w:val="center"/>
                    <w:textAlignment w:val="center"/>
                    <w:rPr>
                      <w:rFonts w:hint="eastAsia" w:hAnsi="宋体" w:cs="宋体"/>
                      <w:sz w:val="21"/>
                      <w:szCs w:val="21"/>
                      <w:lang w:bidi="ar"/>
                    </w:rPr>
                  </w:pPr>
                  <w:r>
                    <w:rPr>
                      <w:rFonts w:hint="eastAsia" w:hAnsi="宋体" w:cs="宋体"/>
                      <w:sz w:val="21"/>
                      <w:szCs w:val="21"/>
                      <w:lang w:val="en-US" w:eastAsia="zh-CN" w:bidi="ar"/>
                    </w:rPr>
                    <w:t>免费</w:t>
                  </w:r>
                </w:p>
              </w:tc>
            </w:tr>
          </w:tbl>
          <w:p>
            <w:pPr>
              <w:numPr>
                <w:ilvl w:val="0"/>
                <w:numId w:val="0"/>
              </w:numPr>
              <w:spacing w:line="360" w:lineRule="auto"/>
              <w:textAlignment w:val="auto"/>
              <w:rPr>
                <w:rFonts w:hint="eastAsia" w:ascii="Times New Roman" w:hAnsi="宋体" w:eastAsia="宋体" w:cs="Times New Roman"/>
                <w:b/>
                <w:kern w:val="0"/>
                <w:sz w:val="21"/>
                <w:szCs w:val="21"/>
              </w:rPr>
            </w:pPr>
            <w:r>
              <w:rPr>
                <w:rFonts w:hint="eastAsia" w:hAnsi="宋体" w:cs="宋体"/>
                <w:sz w:val="21"/>
                <w:szCs w:val="21"/>
              </w:rPr>
              <w:t>注：若上述法律法规及标准已经更新或废止，则按照国家或者行业的最新规定和标准执行。</w:t>
            </w:r>
          </w:p>
          <w:p>
            <w:pPr>
              <w:numPr>
                <w:ilvl w:val="0"/>
                <w:numId w:val="0"/>
              </w:numPr>
              <w:spacing w:line="360" w:lineRule="auto"/>
              <w:ind w:firstLine="422" w:firstLineChars="200"/>
              <w:textAlignment w:val="auto"/>
              <w:rPr>
                <w:rFonts w:hint="eastAsia" w:ascii="Times New Roman" w:hAnsi="宋体" w:eastAsia="宋体" w:cs="Times New Roman"/>
                <w:b/>
                <w:kern w:val="0"/>
                <w:sz w:val="21"/>
                <w:szCs w:val="21"/>
              </w:rPr>
            </w:pPr>
            <w:r>
              <w:rPr>
                <w:rFonts w:hint="eastAsia" w:ascii="仿宋" w:hAnsi="仿宋" w:eastAsia="仿宋" w:cs="仿宋"/>
                <w:b/>
                <w:kern w:val="0"/>
                <w:sz w:val="21"/>
                <w:szCs w:val="21"/>
              </w:rPr>
              <w:t>验收标准</w:t>
            </w:r>
          </w:p>
          <w:p>
            <w:pPr>
              <w:numPr>
                <w:ilvl w:val="0"/>
                <w:numId w:val="0"/>
              </w:numPr>
              <w:spacing w:line="240" w:lineRule="auto"/>
              <w:ind w:firstLine="420" w:firstLineChars="200"/>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日常保养和维修记录完整，确保电梯安全、可靠运行。 </w:t>
            </w:r>
          </w:p>
          <w:p>
            <w:pPr>
              <w:pStyle w:val="2"/>
              <w:rPr>
                <w:rFonts w:hint="eastAsia"/>
                <w:lang w:val="en-US" w:eastAsia="zh-CN"/>
              </w:rPr>
            </w:pPr>
          </w:p>
          <w:p>
            <w:pPr>
              <w:pStyle w:val="12"/>
              <w:numPr>
                <w:ilvl w:val="0"/>
                <w:numId w:val="0"/>
              </w:numPr>
              <w:bidi w:val="0"/>
              <w:ind w:firstLine="422" w:firstLineChars="200"/>
              <w:rPr>
                <w:rFonts w:hint="default"/>
                <w:b/>
                <w:bCs/>
                <w:lang w:val="en-US" w:eastAsia="zh-CN"/>
              </w:rPr>
            </w:pPr>
            <w:r>
              <w:rPr>
                <w:rFonts w:hint="eastAsia"/>
                <w:b/>
                <w:bCs w:val="0"/>
                <w:sz w:val="21"/>
                <w:szCs w:val="21"/>
                <w:lang w:val="zh-CN" w:eastAsia="zh-CN"/>
              </w:rPr>
              <w:t>乙方的违约责任及违约扣罚标准：</w:t>
            </w:r>
          </w:p>
          <w:p>
            <w:pPr>
              <w:numPr>
                <w:ilvl w:val="0"/>
                <w:numId w:val="3"/>
              </w:numPr>
              <w:ind w:firstLine="440" w:firstLineChars="200"/>
              <w:rPr>
                <w:rFonts w:hint="eastAsia"/>
                <w:lang w:val="en-US" w:eastAsia="zh-CN"/>
              </w:rPr>
            </w:pPr>
            <w:r>
              <w:rPr>
                <w:rFonts w:hint="eastAsia"/>
                <w:lang w:val="en-US" w:eastAsia="zh-CN"/>
              </w:rPr>
              <w:t>在保养期内，应定期对电梯设备部件按相关项目进行清洁、检查、润滑、调整。</w:t>
            </w:r>
          </w:p>
          <w:p>
            <w:pPr>
              <w:keepNext w:val="0"/>
              <w:keepLines w:val="0"/>
              <w:pageBreakBefore w:val="0"/>
              <w:widowControl w:val="0"/>
              <w:numPr>
                <w:ilvl w:val="0"/>
                <w:numId w:val="3"/>
              </w:numPr>
              <w:kinsoku/>
              <w:wordWrap/>
              <w:overflowPunct/>
              <w:topLinePunct w:val="0"/>
              <w:autoSpaceDE w:val="0"/>
              <w:autoSpaceDN w:val="0"/>
              <w:bidi w:val="0"/>
              <w:adjustRightInd/>
              <w:snapToGrid/>
              <w:ind w:left="440" w:leftChars="200"/>
              <w:textAlignment w:val="auto"/>
              <w:rPr>
                <w:rFonts w:hint="default"/>
                <w:lang w:val="en-US" w:eastAsia="zh-CN"/>
              </w:rPr>
            </w:pPr>
            <w:r>
              <w:rPr>
                <w:rFonts w:hint="eastAsia"/>
                <w:lang w:val="en-US" w:eastAsia="zh-CN"/>
              </w:rPr>
              <w:t>每次保养完毕，乙方应填写“电梯/扶梯维保保养报告书”并交给甲方核实签字。如保养 人员美颜按规定的时间和项目进行保养，或违反甲方的有关制度，甲方应通知乙方。因乙方保养不良造成的电梯故障，乙方应负责免费修复。</w:t>
            </w:r>
          </w:p>
          <w:p>
            <w:pPr>
              <w:numPr>
                <w:ilvl w:val="0"/>
                <w:numId w:val="3"/>
              </w:numPr>
              <w:bidi w:val="0"/>
              <w:ind w:left="440" w:leftChars="200" w:firstLine="0" w:firstLineChars="0"/>
              <w:rPr>
                <w:rFonts w:hint="eastAsia"/>
                <w:lang w:val="en-US" w:eastAsia="zh-CN"/>
              </w:rPr>
            </w:pPr>
            <w:r>
              <w:rPr>
                <w:rFonts w:hint="eastAsia"/>
                <w:lang w:val="en-US" w:eastAsia="zh-CN"/>
              </w:rPr>
              <w:t>乙方在保养过程中，发现存在安全隐患需要整改时，应书面通知甲方。甲方应在乙方发出通知后，立即对相关内容进行确认和配合整改。</w:t>
            </w:r>
          </w:p>
          <w:p>
            <w:pPr>
              <w:numPr>
                <w:ilvl w:val="0"/>
                <w:numId w:val="3"/>
              </w:numPr>
              <w:bidi w:val="0"/>
              <w:ind w:left="440" w:leftChars="200" w:firstLine="0" w:firstLineChars="0"/>
              <w:rPr>
                <w:rFonts w:hint="default"/>
                <w:lang w:val="en-US" w:eastAsia="zh-CN"/>
              </w:rPr>
            </w:pPr>
            <w:r>
              <w:rPr>
                <w:rFonts w:hint="eastAsia"/>
                <w:lang w:val="en-US" w:eastAsia="zh-CN"/>
              </w:rPr>
              <w:t>当乙方发现电梯部件受损或必须修理、更换时，应书面通知甲方，甲方与乙方就更换部件签署确认书或协议进行书面确认，乙方免费提供维修、更换服务，大修除外(包括但不限于:曳引主机、各种绳轮、门、门套、地坎、更换及裁短钢丝绳、增加功能与改造)。</w:t>
            </w:r>
          </w:p>
          <w:p>
            <w:pPr>
              <w:bidi w:val="0"/>
              <w:ind w:firstLine="440" w:firstLineChars="200"/>
              <w:rPr>
                <w:rFonts w:hint="eastAsia"/>
                <w:lang w:val="en-US" w:eastAsia="zh-CN"/>
              </w:rPr>
            </w:pPr>
            <w:r>
              <w:rPr>
                <w:rFonts w:hint="eastAsia"/>
                <w:lang w:val="en-US" w:eastAsia="zh-CN"/>
              </w:rPr>
              <w:t>5、在保养期内，电梯检测机构对电梯进行检测期间，甲乙双方应派员协助检测工作。</w:t>
            </w:r>
          </w:p>
          <w:p>
            <w:pPr>
              <w:bidi w:val="0"/>
              <w:ind w:left="440" w:leftChars="200" w:firstLine="0" w:firstLineChars="0"/>
              <w:rPr>
                <w:rFonts w:hint="eastAsia"/>
                <w:lang w:val="en-US" w:eastAsia="zh-CN"/>
              </w:rPr>
            </w:pPr>
            <w:r>
              <w:rPr>
                <w:rFonts w:hint="eastAsia"/>
                <w:lang w:val="en-US" w:eastAsia="zh-CN"/>
              </w:rPr>
              <w:t>6、乙方为所保养电梯免费购买电梯公众责任险，(按乙方或日立电梯(中国)有限公司与保险公司签订的保单执行)。</w:t>
            </w:r>
          </w:p>
          <w:p>
            <w:pPr>
              <w:bidi w:val="0"/>
              <w:ind w:left="440" w:leftChars="200" w:firstLine="0" w:firstLineChars="0"/>
              <w:rPr>
                <w:rFonts w:hint="eastAsia"/>
                <w:lang w:val="en-US" w:eastAsia="zh-CN"/>
              </w:rPr>
            </w:pPr>
            <w:r>
              <w:rPr>
                <w:rFonts w:hint="eastAsia"/>
                <w:lang w:val="en-US" w:eastAsia="zh-CN"/>
              </w:rPr>
              <w:t>7、乙方提供的服务不符合本合同规定的，甲方有权要求乙方进行整改，整改后仍不符合本合同规定的，甲方有权解除合同且乙方须向甲方支付本合同总价5%的违约金。</w:t>
            </w:r>
          </w:p>
          <w:p>
            <w:pPr>
              <w:bidi w:val="0"/>
              <w:ind w:left="440" w:leftChars="200" w:firstLine="0" w:firstLineChars="0"/>
              <w:rPr>
                <w:rFonts w:hint="eastAsia"/>
                <w:lang w:val="en-US" w:eastAsia="zh-CN"/>
              </w:rPr>
            </w:pPr>
            <w:r>
              <w:rPr>
                <w:rFonts w:hint="eastAsia"/>
                <w:lang w:val="en-US" w:eastAsia="zh-CN"/>
              </w:rPr>
              <w:t>8、乙方未能按本合同规定的履行时间提供服务，从逾期之日起每日按本合同总价万分之五的数额向甲方支付违约金:逾期半个月以上的，甲方有权解除合同，由此造成的甲方经济损失由乙方承担。</w:t>
            </w:r>
          </w:p>
          <w:p>
            <w:pPr>
              <w:bidi w:val="0"/>
              <w:ind w:left="440" w:leftChars="200" w:firstLine="0" w:firstLineChars="0"/>
              <w:rPr>
                <w:rFonts w:hint="eastAsia"/>
                <w:lang w:val="en-US" w:eastAsia="zh-CN"/>
              </w:rPr>
            </w:pPr>
            <w:r>
              <w:rPr>
                <w:rFonts w:hint="eastAsia"/>
                <w:lang w:val="en-US" w:eastAsia="zh-CN"/>
              </w:rPr>
              <w:t>9、乙方同意:对于因乙方违反合同约定而产生的费用、违约金以及赔偿金等款项，甲方均有权从应支付的费用中直接扣除。</w:t>
            </w:r>
          </w:p>
          <w:p>
            <w:pPr>
              <w:bidi w:val="0"/>
              <w:ind w:left="440" w:leftChars="200" w:firstLine="0" w:firstLineChars="0"/>
              <w:rPr>
                <w:rFonts w:hint="eastAsia"/>
                <w:lang w:val="en-US" w:eastAsia="zh-CN"/>
              </w:rPr>
            </w:pPr>
            <w:r>
              <w:rPr>
                <w:rFonts w:hint="eastAsia"/>
                <w:lang w:val="en-US" w:eastAsia="zh-CN"/>
              </w:rPr>
              <w:t>10、因甲、乙方的任何违约或违法行为所产生纠纷的，守约方为处理纠纷而支出的合理开支（包括但不限于律师费、诉讼费、保函费、差旅费、调查取证费、公证费、鉴定费）均由乙方承担。</w:t>
            </w:r>
          </w:p>
          <w:p>
            <w:pPr>
              <w:ind w:left="440" w:leftChars="200" w:firstLine="0" w:firstLineChars="0"/>
              <w:rPr>
                <w:rFonts w:hint="eastAsia"/>
                <w:lang w:val="en-US" w:eastAsia="zh-CN"/>
              </w:rPr>
            </w:pPr>
            <w:r>
              <w:rPr>
                <w:rFonts w:hint="eastAsia"/>
                <w:lang w:val="en-US" w:eastAsia="zh-CN"/>
              </w:rPr>
              <w:t>11.在甲方向乙方付款前，乙方应向甲方提供税务发票。乙方开具的发票应为乙方所在地的合格税务发票，真实、合法、有效，如乙方开具的发票有假，应立即补开合格发票或甲方有权终止与乙方的合同。</w:t>
            </w:r>
          </w:p>
          <w:p>
            <w:pPr>
              <w:ind w:left="440" w:leftChars="200"/>
              <w:rPr>
                <w:rFonts w:hint="eastAsia" w:eastAsia="仿宋"/>
                <w:lang w:eastAsia="zh-CN"/>
              </w:rPr>
            </w:pPr>
            <w:r>
              <w:rPr>
                <w:rFonts w:hint="eastAsia"/>
                <w:lang w:val="en-US" w:eastAsia="zh-CN"/>
              </w:rPr>
              <w:t>12. 其他违约责任按《中华人民共和国民法典》处理。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 w:author="李泽谦" w:date="2025-04-23T15:04:17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wBefore w:w="0" w:type="auto"/>
          <w:trHeight w:val="9474" w:hRule="atLeast"/>
          <w:jc w:val="center"/>
          <w:trPrChange w:id="1" w:author="李泽谦" w:date="2025-04-23T15:04:17Z">
            <w:trPr>
              <w:gridBefore w:val="1"/>
              <w:wBefore w:w="5" w:type="dxa"/>
              <w:trHeight w:val="4399" w:hRule="atLeast"/>
              <w:jc w:val="center"/>
            </w:trPr>
          </w:trPrChange>
        </w:trPr>
        <w:tc>
          <w:tcPr>
            <w:tcW w:w="1017" w:type="dxa"/>
            <w:vMerge w:val="continue"/>
            <w:tcBorders>
              <w:top w:val="nil"/>
              <w:bottom w:val="nil"/>
            </w:tcBorders>
            <w:tcPrChange w:id="2" w:author="李泽谦" w:date="2025-04-23T15:04:17Z">
              <w:tcPr>
                <w:tcW w:w="1017" w:type="dxa"/>
                <w:gridSpan w:val="2"/>
                <w:vMerge w:val="continue"/>
                <w:tcBorders>
                  <w:top w:val="nil"/>
                  <w:bottom w:val="nil"/>
                </w:tcBorders>
              </w:tcPr>
            </w:tcPrChange>
          </w:tcPr>
          <w:p>
            <w:pPr>
              <w:rPr>
                <w:sz w:val="2"/>
                <w:szCs w:val="2"/>
              </w:rPr>
            </w:pPr>
          </w:p>
        </w:tc>
        <w:tc>
          <w:tcPr>
            <w:tcW w:w="1018" w:type="dxa"/>
            <w:tcPrChange w:id="3" w:author="李泽谦" w:date="2025-04-23T15:04:17Z">
              <w:tcPr>
                <w:tcW w:w="1018" w:type="dxa"/>
                <w:gridSpan w:val="2"/>
              </w:tcPr>
            </w:tcPrChange>
          </w:tcPr>
          <w:p>
            <w:pPr>
              <w:pStyle w:val="22"/>
              <w:rPr>
                <w:sz w:val="28"/>
              </w:rPr>
            </w:pPr>
          </w:p>
          <w:p>
            <w:pPr>
              <w:pStyle w:val="22"/>
              <w:rPr>
                <w:sz w:val="28"/>
              </w:rPr>
            </w:pPr>
          </w:p>
          <w:p>
            <w:pPr>
              <w:pStyle w:val="22"/>
              <w:rPr>
                <w:sz w:val="28"/>
              </w:rPr>
            </w:pPr>
          </w:p>
          <w:p>
            <w:pPr>
              <w:pStyle w:val="22"/>
              <w:rPr>
                <w:sz w:val="28"/>
              </w:rPr>
            </w:pPr>
          </w:p>
          <w:p>
            <w:pPr>
              <w:pStyle w:val="22"/>
              <w:spacing w:before="7"/>
              <w:rPr>
                <w:sz w:val="21"/>
              </w:rPr>
            </w:pPr>
          </w:p>
          <w:p>
            <w:pPr>
              <w:pStyle w:val="22"/>
              <w:spacing w:line="417" w:lineRule="auto"/>
              <w:ind w:left="226" w:right="217"/>
              <w:rPr>
                <w:b/>
                <w:sz w:val="28"/>
              </w:rPr>
            </w:pPr>
            <w:r>
              <w:rPr>
                <w:b/>
                <w:sz w:val="28"/>
              </w:rPr>
              <w:t>商务部分</w:t>
            </w:r>
          </w:p>
        </w:tc>
        <w:tc>
          <w:tcPr>
            <w:tcW w:w="8072" w:type="dxa"/>
            <w:tcPrChange w:id="4" w:author="李泽谦" w:date="2025-04-23T15:04:17Z">
              <w:tcPr>
                <w:tcW w:w="8072" w:type="dxa"/>
                <w:gridSpan w:val="2"/>
              </w:tcPr>
            </w:tcPrChange>
          </w:tcPr>
          <w:p>
            <w:pPr>
              <w:pStyle w:val="12"/>
              <w:spacing w:before="132" w:line="417" w:lineRule="auto"/>
              <w:ind w:left="0" w:right="6549"/>
              <w:rPr>
                <w:rFonts w:hint="eastAsia" w:ascii="仿宋_GB2312" w:hAnsi="宋体" w:eastAsia="仿宋_GB2312" w:cs="宋体"/>
                <w:b/>
                <w:sz w:val="28"/>
                <w:szCs w:val="28"/>
                <w:lang w:val="en-US"/>
              </w:rPr>
            </w:pPr>
            <w:r>
              <w:rPr>
                <w:rFonts w:hint="eastAsia" w:ascii="仿宋_GB2312" w:hAnsi="宋体" w:eastAsia="仿宋_GB2312" w:cs="宋体"/>
                <w:b/>
                <w:sz w:val="28"/>
                <w:szCs w:val="28"/>
              </w:rPr>
              <w:t xml:space="preserve">实施期限： </w:t>
            </w:r>
            <w:r>
              <w:rPr>
                <w:rFonts w:hint="eastAsia" w:ascii="仿宋_GB2312" w:hAnsi="宋体" w:eastAsia="仿宋_GB2312" w:cs="宋体"/>
                <w:b/>
                <w:sz w:val="28"/>
                <w:szCs w:val="28"/>
                <w:lang w:val="zh-CN" w:eastAsia="zh-CN"/>
              </w:rPr>
              <w:t>2年</w:t>
            </w:r>
          </w:p>
          <w:p>
            <w:pPr>
              <w:pStyle w:val="12"/>
              <w:spacing w:before="0" w:line="240" w:lineRule="auto"/>
              <w:ind w:left="0" w:right="0"/>
              <w:rPr>
                <w:rStyle w:val="18"/>
                <w:rFonts w:hint="eastAsia" w:ascii="仿宋_GB2312" w:hAnsi="宋体" w:eastAsia="仿宋_GB2312" w:cs="宋体"/>
                <w:b/>
                <w:sz w:val="28"/>
                <w:szCs w:val="28"/>
                <w:lang w:val="zh-CN" w:eastAsia="zh-CN"/>
              </w:rPr>
            </w:pPr>
            <w:r>
              <w:rPr>
                <w:rFonts w:hint="eastAsia" w:ascii="仿宋_GB2312" w:hAnsi="宋体" w:eastAsia="仿宋_GB2312" w:cs="宋体"/>
                <w:b/>
                <w:sz w:val="28"/>
                <w:szCs w:val="28"/>
              </w:rPr>
              <w:t>实施范围：</w:t>
            </w:r>
            <w:r>
              <w:rPr>
                <w:rStyle w:val="18"/>
                <w:rFonts w:hint="default" w:ascii="仿宋_GB2312" w:hAnsi="宋体" w:eastAsia="仿宋_GB2312" w:cs="宋体"/>
                <w:b/>
                <w:sz w:val="28"/>
                <w:szCs w:val="28"/>
                <w:lang w:val="zh-CN" w:eastAsia="zh-CN"/>
              </w:rPr>
              <w:t>珠海市妇幼保健院柠溪院区</w:t>
            </w:r>
          </w:p>
          <w:p>
            <w:pPr>
              <w:pStyle w:val="12"/>
              <w:spacing w:line="240" w:lineRule="auto"/>
              <w:ind w:left="0" w:right="0"/>
              <w:rPr>
                <w:rFonts w:hint="eastAsia" w:ascii="仿宋_GB2312" w:hAnsi="宋体" w:eastAsia="仿宋_GB2312" w:cs="宋体"/>
                <w:b/>
                <w:sz w:val="28"/>
                <w:szCs w:val="28"/>
              </w:rPr>
            </w:pPr>
          </w:p>
          <w:p>
            <w:pPr>
              <w:pStyle w:val="12"/>
              <w:spacing w:line="240" w:lineRule="auto"/>
              <w:ind w:left="0" w:right="0"/>
              <w:rPr>
                <w:rFonts w:hint="eastAsia" w:ascii="仿宋_GB2312" w:hAnsi="宋体" w:eastAsia="仿宋_GB2312" w:cs="宋体"/>
                <w:b/>
                <w:kern w:val="0"/>
                <w:sz w:val="28"/>
                <w:szCs w:val="28"/>
                <w:lang w:val="zh-CN" w:eastAsia="zh-CN" w:bidi="zh-CN"/>
              </w:rPr>
            </w:pPr>
            <w:r>
              <w:rPr>
                <w:rFonts w:hint="eastAsia" w:ascii="仿宋_GB2312" w:hAnsi="宋体" w:eastAsia="仿宋_GB2312" w:cs="宋体"/>
                <w:b/>
                <w:sz w:val="28"/>
                <w:szCs w:val="28"/>
              </w:rPr>
              <w:t>付款条件：（含进度与方式）</w:t>
            </w:r>
          </w:p>
          <w:p>
            <w:pPr>
              <w:pStyle w:val="12"/>
              <w:rPr>
                <w:rFonts w:hint="eastAsia" w:ascii="仿宋_GB2312" w:hAnsi="宋体" w:eastAsia="仿宋_GB2312" w:cs="宋体"/>
                <w:b/>
                <w:sz w:val="28"/>
                <w:szCs w:val="28"/>
                <w:lang w:val="zh-CN" w:eastAsia="zh-CN" w:bidi="zh-CN"/>
              </w:rPr>
            </w:pPr>
            <w:r>
              <w:rPr>
                <w:rFonts w:hint="eastAsia" w:ascii="仿宋_GB2312" w:hAnsi="宋体" w:eastAsia="仿宋_GB2312" w:cs="宋体"/>
                <w:b/>
                <w:sz w:val="28"/>
                <w:szCs w:val="28"/>
                <w:lang w:val="zh-CN" w:eastAsia="zh-CN" w:bidi="zh-CN"/>
              </w:rPr>
              <w:t>1.结算周期：按季度支付服务费。合同生效后，乙方进场履行义务，每季度经甲方验收合格后结合考核结果，在下季度支付该季度服务款。按季度支付，每期支付费用=每年合同金额÷4+配件费（＞500元）。</w:t>
            </w:r>
          </w:p>
          <w:p>
            <w:pPr>
              <w:pStyle w:val="12"/>
              <w:rPr>
                <w:rFonts w:hint="eastAsia" w:ascii="仿宋_GB2312" w:hAnsi="宋体" w:eastAsia="仿宋_GB2312" w:cs="宋体"/>
                <w:b/>
                <w:sz w:val="28"/>
                <w:szCs w:val="28"/>
                <w:lang w:val="zh-CN" w:eastAsia="zh-CN" w:bidi="zh-CN"/>
              </w:rPr>
            </w:pPr>
            <w:r>
              <w:rPr>
                <w:rFonts w:hint="eastAsia" w:ascii="仿宋_GB2312" w:hAnsi="宋体" w:eastAsia="仿宋_GB2312" w:cs="宋体"/>
                <w:b/>
                <w:sz w:val="28"/>
                <w:szCs w:val="28"/>
                <w:lang w:val="zh-CN" w:eastAsia="zh-CN" w:bidi="zh-CN"/>
              </w:rPr>
              <w:t>2.付款条件：</w:t>
            </w:r>
          </w:p>
          <w:p>
            <w:pPr>
              <w:pStyle w:val="12"/>
              <w:rPr>
                <w:rFonts w:hint="eastAsia" w:ascii="仿宋_GB2312" w:hAnsi="宋体" w:eastAsia="仿宋_GB2312" w:cs="宋体"/>
                <w:b/>
                <w:sz w:val="28"/>
                <w:szCs w:val="28"/>
                <w:lang w:val="zh-CN" w:eastAsia="zh-CN" w:bidi="zh-CN"/>
              </w:rPr>
            </w:pPr>
            <w:r>
              <w:rPr>
                <w:rFonts w:hint="eastAsia" w:ascii="仿宋_GB2312" w:hAnsi="宋体" w:eastAsia="仿宋_GB2312" w:cs="宋体"/>
                <w:b/>
                <w:sz w:val="28"/>
                <w:szCs w:val="28"/>
                <w:lang w:val="zh-CN" w:eastAsia="zh-CN" w:bidi="zh-CN"/>
              </w:rPr>
              <w:t>①乙方按合同约定履行了各项服务内容。</w:t>
            </w:r>
          </w:p>
          <w:p>
            <w:pPr>
              <w:pStyle w:val="12"/>
              <w:rPr>
                <w:rFonts w:hint="eastAsia" w:ascii="仿宋_GB2312" w:hAnsi="宋体" w:eastAsia="仿宋_GB2312" w:cs="宋体"/>
                <w:b/>
                <w:sz w:val="28"/>
                <w:szCs w:val="28"/>
                <w:lang w:val="zh-CN" w:eastAsia="zh-CN" w:bidi="zh-CN"/>
              </w:rPr>
            </w:pPr>
            <w:r>
              <w:rPr>
                <w:rFonts w:hint="eastAsia" w:ascii="仿宋_GB2312" w:hAnsi="宋体" w:eastAsia="仿宋_GB2312" w:cs="宋体"/>
                <w:b/>
                <w:sz w:val="28"/>
                <w:szCs w:val="28"/>
                <w:lang w:val="zh-CN" w:eastAsia="zh-CN" w:bidi="zh-CN"/>
              </w:rPr>
              <w:t>②通过了甲方的服务考核。</w:t>
            </w:r>
          </w:p>
          <w:p>
            <w:pPr>
              <w:pStyle w:val="12"/>
              <w:rPr>
                <w:rFonts w:hint="eastAsia" w:ascii="仿宋_GB2312" w:hAnsi="宋体" w:eastAsia="仿宋_GB2312" w:cs="宋体"/>
                <w:b/>
                <w:sz w:val="28"/>
                <w:szCs w:val="28"/>
                <w:lang w:val="zh-CN" w:eastAsia="zh-CN" w:bidi="zh-CN"/>
              </w:rPr>
            </w:pPr>
            <w:r>
              <w:rPr>
                <w:rFonts w:hint="eastAsia" w:ascii="仿宋_GB2312" w:hAnsi="宋体" w:eastAsia="仿宋_GB2312" w:cs="宋体"/>
                <w:b/>
                <w:sz w:val="28"/>
                <w:szCs w:val="28"/>
                <w:lang w:val="zh-CN" w:eastAsia="zh-CN" w:bidi="zh-CN"/>
              </w:rPr>
              <w:t>3.付款方式：银行转账。</w:t>
            </w:r>
          </w:p>
          <w:p>
            <w:pPr>
              <w:pStyle w:val="12"/>
              <w:rPr>
                <w:rFonts w:hint="eastAsia" w:ascii="仿宋_GB2312" w:hAnsi="宋体" w:eastAsia="仿宋_GB2312" w:cs="宋体"/>
                <w:b/>
                <w:sz w:val="28"/>
                <w:szCs w:val="28"/>
                <w:lang w:val="zh-CN" w:eastAsia="zh-CN" w:bidi="zh-CN"/>
              </w:rPr>
            </w:pPr>
            <w:r>
              <w:rPr>
                <w:rFonts w:hint="eastAsia" w:ascii="仿宋_GB2312" w:hAnsi="宋体" w:eastAsia="仿宋_GB2312" w:cs="宋体"/>
                <w:b/>
                <w:sz w:val="28"/>
                <w:szCs w:val="28"/>
                <w:lang w:val="zh-CN" w:eastAsia="zh-CN" w:bidi="zh-CN"/>
              </w:rPr>
              <w:t>4.乙方向甲方提供合法有效的全额税务发票后，甲方才向乙方付款，否则，甲方有权延迟支付且不承担任何责任。</w:t>
            </w:r>
          </w:p>
          <w:p>
            <w:pPr>
              <w:pStyle w:val="12"/>
              <w:spacing w:line="240" w:lineRule="auto"/>
              <w:ind w:left="0" w:right="0"/>
              <w:rPr>
                <w:rFonts w:hint="eastAsia" w:ascii="仿宋_GB2312" w:hAnsi="宋体" w:eastAsia="仿宋_GB2312" w:cs="宋体"/>
                <w:b/>
                <w:sz w:val="28"/>
                <w:szCs w:val="28"/>
                <w:lang w:val="en-US"/>
              </w:rPr>
            </w:pPr>
            <w:r>
              <w:rPr>
                <w:rFonts w:hint="eastAsia" w:ascii="仿宋_GB2312" w:hAnsi="宋体" w:eastAsia="仿宋_GB2312" w:cs="宋体"/>
                <w:b/>
                <w:sz w:val="28"/>
                <w:szCs w:val="28"/>
              </w:rPr>
              <w:t>包装与运输要求：</w:t>
            </w:r>
            <w:r>
              <w:rPr>
                <w:rFonts w:hint="eastAsia" w:ascii="仿宋_GB2312" w:hAnsi="宋体" w:eastAsia="仿宋_GB2312" w:cs="宋体"/>
                <w:b/>
                <w:sz w:val="28"/>
                <w:szCs w:val="28"/>
                <w:lang w:val="zh-CN" w:eastAsia="zh-CN"/>
              </w:rPr>
              <w:t>/</w:t>
            </w:r>
          </w:p>
          <w:p>
            <w:pPr>
              <w:pStyle w:val="12"/>
              <w:spacing w:line="240" w:lineRule="auto"/>
              <w:ind w:left="0" w:right="0"/>
              <w:rPr>
                <w:rFonts w:hint="eastAsia" w:ascii="仿宋_GB2312" w:hAnsi="宋体" w:eastAsia="仿宋_GB2312" w:cs="宋体"/>
                <w:b/>
                <w:sz w:val="28"/>
                <w:szCs w:val="28"/>
              </w:rPr>
            </w:pPr>
            <w:r>
              <w:rPr>
                <w:rFonts w:hint="eastAsia" w:ascii="仿宋_GB2312" w:hAnsi="宋体" w:eastAsia="仿宋_GB2312" w:cs="宋体"/>
                <w:b/>
                <w:sz w:val="28"/>
                <w:szCs w:val="28"/>
              </w:rPr>
              <w:t>售后服务：</w:t>
            </w:r>
            <w:r>
              <w:rPr>
                <w:rFonts w:hint="eastAsia" w:ascii="仿宋_GB2312" w:hAnsi="宋体" w:eastAsia="仿宋_GB2312" w:cs="宋体"/>
                <w:b/>
                <w:sz w:val="28"/>
                <w:szCs w:val="28"/>
                <w:lang w:eastAsia="zh-CN"/>
              </w:rPr>
              <w:t>详见需求书的</w:t>
            </w:r>
            <w:r>
              <w:rPr>
                <w:rFonts w:hint="eastAsia" w:ascii="仿宋_GB2312" w:hAnsi="宋体" w:eastAsia="仿宋_GB2312" w:cs="宋体"/>
                <w:b/>
                <w:sz w:val="28"/>
                <w:szCs w:val="28"/>
              </w:rPr>
              <w:t>服务标准/要求</w:t>
            </w:r>
            <w:r>
              <w:rPr>
                <w:rFonts w:hint="eastAsia" w:ascii="仿宋_GB2312" w:hAnsi="宋体" w:eastAsia="仿宋_GB2312" w:cs="宋体"/>
                <w:b/>
                <w:sz w:val="28"/>
                <w:szCs w:val="28"/>
                <w:lang w:eastAsia="zh-CN"/>
              </w:rPr>
              <w:t>。</w:t>
            </w:r>
          </w:p>
          <w:p>
            <w:pPr>
              <w:pStyle w:val="12"/>
              <w:spacing w:line="240" w:lineRule="auto"/>
              <w:ind w:left="0" w:right="0"/>
              <w:rPr>
                <w:rFonts w:hint="eastAsia" w:ascii="仿宋_GB2312" w:hAnsi="宋体" w:eastAsia="仿宋_GB2312" w:cs="宋体"/>
                <w:b/>
                <w:sz w:val="28"/>
                <w:szCs w:val="28"/>
                <w:lang w:val="zh-CN" w:eastAsia="zh-CN"/>
              </w:rPr>
            </w:pPr>
            <w:r>
              <w:rPr>
                <w:rFonts w:hint="eastAsia" w:ascii="仿宋_GB2312" w:hAnsi="宋体" w:eastAsia="仿宋_GB2312" w:cs="宋体"/>
                <w:b/>
                <w:sz w:val="28"/>
                <w:szCs w:val="28"/>
              </w:rPr>
              <w:t>培训要求：</w:t>
            </w:r>
            <w:r>
              <w:rPr>
                <w:rFonts w:hint="eastAsia" w:ascii="仿宋_GB2312" w:hAnsi="宋体" w:eastAsia="仿宋_GB2312" w:cs="宋体"/>
                <w:b/>
                <w:bCs w:val="0"/>
                <w:sz w:val="28"/>
                <w:szCs w:val="28"/>
              </w:rPr>
              <w:t>中标人每年不少于两次在医院指定的范围内开展面向公众电梯安全知识宣传，引导社会公众正确使用电梯。每年至少组织两次对承保电梯作业人员的安全教育并会同采购人的管理人员组织应急救援演练。</w:t>
            </w:r>
          </w:p>
          <w:p>
            <w:pPr>
              <w:pStyle w:val="12"/>
              <w:spacing w:line="240" w:lineRule="auto"/>
              <w:ind w:left="0" w:right="0"/>
              <w:rPr>
                <w:rFonts w:hint="eastAsia" w:ascii="仿宋_GB2312" w:hAnsi="宋体" w:eastAsia="仿宋_GB2312" w:cs="宋体"/>
                <w:b/>
                <w:sz w:val="28"/>
                <w:szCs w:val="28"/>
              </w:rPr>
            </w:pPr>
            <w:r>
              <w:rPr>
                <w:rFonts w:hint="eastAsia" w:ascii="仿宋_GB2312" w:hAnsi="宋体" w:eastAsia="仿宋_GB2312" w:cs="宋体"/>
                <w:b/>
                <w:sz w:val="28"/>
                <w:szCs w:val="28"/>
              </w:rPr>
              <w:t>其他：</w:t>
            </w:r>
          </w:p>
          <w:p>
            <w:pPr>
              <w:pStyle w:val="12"/>
              <w:spacing w:line="240" w:lineRule="auto"/>
              <w:ind w:left="0" w:right="0"/>
              <w:rPr>
                <w:rFonts w:hint="eastAsia" w:eastAsia="仿宋_GB2312"/>
                <w:b/>
                <w:sz w:val="28"/>
                <w:lang w:val="en-US" w:eastAsia="zh-CN"/>
              </w:rPr>
            </w:pPr>
            <w:r>
              <w:rPr>
                <w:rFonts w:hint="eastAsia" w:ascii="仿宋_GB2312" w:hAnsi="宋体" w:eastAsia="仿宋_GB2312" w:cs="宋体"/>
                <w:b/>
                <w:sz w:val="28"/>
                <w:szCs w:val="28"/>
              </w:rPr>
              <w:t>报价要求：报价应包含完成本次项目所有服务内容的费用，包括人工费、设备使用费、年度检验（代办年检，不含年检费）、限速器检测费、平衡系数检测费、租砝码费、电梯保险费、零配件费用（单价为500元或以下）、各种税务费、必须的辅助材料费及合同实施过程中不可预见费用等全部费用。服务期内</w:t>
            </w:r>
            <w:r>
              <w:rPr>
                <w:rFonts w:hint="eastAsia" w:ascii="仿宋_GB2312" w:hAnsi="宋体" w:eastAsia="仿宋_GB2312" w:cs="宋体"/>
                <w:b/>
                <w:sz w:val="28"/>
                <w:szCs w:val="28"/>
                <w:lang w:eastAsia="zh-CN"/>
              </w:rPr>
              <w:t>，</w:t>
            </w:r>
            <w:r>
              <w:rPr>
                <w:rFonts w:hint="eastAsia" w:ascii="仿宋_GB2312" w:hAnsi="宋体" w:eastAsia="仿宋_GB2312" w:cs="宋体"/>
                <w:b/>
                <w:sz w:val="28"/>
                <w:szCs w:val="28"/>
              </w:rPr>
              <w:t>清单中</w:t>
            </w:r>
            <w:r>
              <w:rPr>
                <w:rFonts w:hint="eastAsia" w:ascii="仿宋_GB2312" w:hAnsi="宋体" w:eastAsia="仿宋_GB2312" w:cs="宋体"/>
                <w:b/>
                <w:sz w:val="28"/>
                <w:szCs w:val="28"/>
                <w:lang w:eastAsia="zh-CN"/>
              </w:rPr>
              <w:t>电梯</w:t>
            </w:r>
            <w:r>
              <w:rPr>
                <w:rFonts w:hint="eastAsia" w:ascii="仿宋_GB2312" w:hAnsi="宋体" w:eastAsia="仿宋_GB2312" w:cs="宋体"/>
                <w:b/>
                <w:sz w:val="28"/>
                <w:szCs w:val="28"/>
              </w:rPr>
              <w:t>数量如有调整(例如:医院规划需要停运或拆除个别电梯)按实际维护数量结算服务费</w:t>
            </w:r>
            <w:r>
              <w:rPr>
                <w:rFonts w:hint="eastAsia" w:ascii="仿宋_GB2312" w:hAnsi="宋体" w:eastAsia="仿宋_GB2312" w:cs="宋体"/>
                <w:b/>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1017" w:type="dxa"/>
            <w:tcBorders>
              <w:top w:val="nil"/>
              <w:bottom w:val="nil"/>
            </w:tcBorders>
          </w:tcPr>
          <w:p>
            <w:pPr>
              <w:rPr>
                <w:sz w:val="2"/>
                <w:szCs w:val="2"/>
              </w:rPr>
            </w:pPr>
          </w:p>
        </w:tc>
        <w:tc>
          <w:tcPr>
            <w:tcW w:w="9090" w:type="dxa"/>
            <w:gridSpan w:val="2"/>
          </w:tcPr>
          <w:p>
            <w:pPr>
              <w:widowControl/>
              <w:spacing w:line="560" w:lineRule="exact"/>
              <w:ind w:firstLine="0" w:firstLineChars="0"/>
              <w:jc w:val="left"/>
              <w:rPr>
                <w:rFonts w:hint="eastAsia" w:ascii="仿宋_GB2312" w:hAnsi="宋体" w:eastAsia="仿宋_GB2312" w:cs="宋体"/>
                <w:b/>
                <w:sz w:val="32"/>
                <w:szCs w:val="32"/>
              </w:rPr>
            </w:pPr>
            <w:r>
              <w:rPr>
                <w:rFonts w:hint="eastAsia" w:ascii="仿宋_GB2312" w:hAnsi="宋体" w:eastAsia="仿宋_GB2312" w:cs="宋体"/>
                <w:b/>
                <w:sz w:val="32"/>
                <w:szCs w:val="32"/>
              </w:rPr>
              <w:t>供应商特定资格/资质要求：</w:t>
            </w:r>
          </w:p>
          <w:p>
            <w:pPr>
              <w:widowControl/>
              <w:spacing w:line="360" w:lineRule="auto"/>
              <w:ind w:firstLine="562" w:firstLineChars="200"/>
              <w:jc w:val="both"/>
              <w:rPr>
                <w:rFonts w:hint="eastAsia" w:ascii="仿宋_GB2312" w:hAnsi="宋体" w:eastAsia="仿宋_GB2312" w:cs="宋体"/>
                <w:b/>
                <w:sz w:val="28"/>
                <w:szCs w:val="28"/>
              </w:rPr>
            </w:pPr>
            <w:r>
              <w:rPr>
                <w:rFonts w:hint="eastAsia" w:ascii="仿宋_GB2312" w:hAnsi="宋体" w:eastAsia="仿宋_GB2312" w:cs="宋体"/>
                <w:b/>
                <w:sz w:val="28"/>
                <w:szCs w:val="28"/>
              </w:rPr>
              <w:t>1.须具备《中华人民共和国政府采购法》第二十二条规定的供应商条件。</w:t>
            </w:r>
          </w:p>
          <w:p>
            <w:pPr>
              <w:widowControl/>
              <w:spacing w:line="360" w:lineRule="auto"/>
              <w:ind w:firstLine="562" w:firstLineChars="200"/>
              <w:jc w:val="both"/>
              <w:rPr>
                <w:rFonts w:hint="eastAsia" w:ascii="仿宋_GB2312" w:hAnsi="宋体" w:eastAsia="仿宋_GB2312" w:cs="宋体"/>
                <w:b/>
                <w:sz w:val="28"/>
                <w:szCs w:val="28"/>
              </w:rPr>
            </w:pPr>
            <w:r>
              <w:rPr>
                <w:rFonts w:hint="eastAsia" w:ascii="仿宋_GB2312" w:hAnsi="宋体" w:eastAsia="仿宋_GB2312" w:cs="宋体"/>
                <w:b/>
                <w:sz w:val="28"/>
                <w:szCs w:val="28"/>
              </w:rPr>
              <w:t>2.须具有有效的《中华人民共和国特种设备生产许可证》或电梯《特种设备安装改造维修许可证》B级或以上资质。</w:t>
            </w:r>
          </w:p>
          <w:p>
            <w:pPr>
              <w:widowControl/>
              <w:spacing w:line="360" w:lineRule="auto"/>
              <w:ind w:firstLine="562" w:firstLineChars="200"/>
              <w:jc w:val="both"/>
              <w:rPr>
                <w:rFonts w:hint="eastAsia" w:ascii="仿宋_GB2312" w:hAnsi="宋体" w:eastAsia="仿宋_GB2312" w:cs="宋体"/>
                <w:b/>
                <w:sz w:val="28"/>
                <w:szCs w:val="28"/>
              </w:rPr>
            </w:pPr>
            <w:r>
              <w:rPr>
                <w:rFonts w:hint="eastAsia" w:ascii="仿宋_GB2312" w:hAnsi="宋体" w:eastAsia="仿宋_GB2312" w:cs="宋体"/>
                <w:b/>
                <w:sz w:val="28"/>
                <w:szCs w:val="28"/>
              </w:rPr>
              <w:t>3.维保人员具备特种设备作业证等电梯维保等相关资质。</w:t>
            </w:r>
          </w:p>
          <w:p>
            <w:pPr>
              <w:pStyle w:val="2"/>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017" w:type="dxa"/>
            <w:tcBorders>
              <w:top w:val="nil"/>
              <w:bottom w:val="nil"/>
            </w:tcBorders>
          </w:tcPr>
          <w:p>
            <w:pPr>
              <w:rPr>
                <w:sz w:val="2"/>
                <w:szCs w:val="2"/>
              </w:rPr>
            </w:pPr>
          </w:p>
        </w:tc>
        <w:tc>
          <w:tcPr>
            <w:tcW w:w="9090" w:type="dxa"/>
            <w:gridSpan w:val="2"/>
          </w:tcPr>
          <w:p>
            <w:pPr>
              <w:spacing w:line="560" w:lineRule="exact"/>
              <w:rPr>
                <w:rFonts w:hint="eastAsia" w:ascii="仿宋_GB2312" w:hAnsi="宋体" w:eastAsia="仿宋_GB2312" w:cs="宋体"/>
                <w:b/>
                <w:sz w:val="32"/>
                <w:szCs w:val="32"/>
                <w:lang w:eastAsia="zh-CN"/>
              </w:rPr>
            </w:pPr>
            <w:r>
              <w:rPr>
                <w:rFonts w:hint="eastAsia" w:ascii="仿宋_GB2312" w:hAnsi="宋体" w:eastAsia="仿宋_GB2312" w:cs="宋体"/>
                <w:b/>
                <w:sz w:val="32"/>
                <w:szCs w:val="32"/>
              </w:rPr>
              <w:t>是否专门面向中小企业采购：</w:t>
            </w:r>
            <w:r>
              <w:rPr>
                <w:rFonts w:hint="eastAsia" w:ascii="仿宋_GB2312" w:hAnsi="宋体" w:eastAsia="仿宋_GB2312" w:cs="宋体"/>
                <w:b/>
                <w:sz w:val="32"/>
                <w:szCs w:val="32"/>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17" w:type="dxa"/>
            <w:tcBorders>
              <w:top w:val="nil"/>
            </w:tcBorders>
          </w:tcPr>
          <w:p>
            <w:pPr>
              <w:rPr>
                <w:sz w:val="2"/>
                <w:szCs w:val="2"/>
              </w:rPr>
            </w:pPr>
          </w:p>
        </w:tc>
        <w:tc>
          <w:tcPr>
            <w:tcW w:w="9090" w:type="dxa"/>
            <w:gridSpan w:val="2"/>
          </w:tcPr>
          <w:p>
            <w:pPr>
              <w:pStyle w:val="12"/>
              <w:rPr>
                <w:rFonts w:ascii="仿宋_GB2312" w:hAnsi="宋体" w:eastAsia="仿宋_GB2312" w:cs="宋体"/>
                <w:b/>
              </w:rPr>
            </w:pPr>
            <w:r>
              <w:rPr>
                <w:rFonts w:ascii="仿宋_GB2312" w:hAnsi="宋体" w:eastAsia="仿宋_GB2312" w:cs="宋体"/>
                <w:b/>
              </w:rPr>
              <w:t>填报人员</w:t>
            </w:r>
            <w:r>
              <w:rPr>
                <w:rFonts w:hint="eastAsia" w:ascii="仿宋_GB2312" w:hAnsi="宋体" w:eastAsia="仿宋_GB2312" w:cs="宋体"/>
                <w:b/>
              </w:rPr>
              <w:t xml:space="preserve">：    </w:t>
            </w:r>
          </w:p>
          <w:p>
            <w:pPr>
              <w:pStyle w:val="12"/>
              <w:rPr>
                <w:rFonts w:ascii="仿宋_GB2312" w:hAnsi="宋体" w:eastAsia="仿宋_GB2312" w:cs="宋体"/>
                <w:b/>
              </w:rPr>
            </w:pPr>
            <w:r>
              <w:rPr>
                <w:rFonts w:hint="eastAsia" w:ascii="仿宋_GB2312" w:hAnsi="宋体" w:eastAsia="仿宋_GB2312" w:cs="宋体"/>
                <w:b/>
              </w:rPr>
              <w:t xml:space="preserve">       </w:t>
            </w:r>
          </w:p>
          <w:p>
            <w:pPr>
              <w:pStyle w:val="12"/>
              <w:rPr>
                <w:rFonts w:hint="eastAsia" w:ascii="仿宋_GB2312" w:hAnsi="宋体" w:eastAsia="仿宋_GB2312" w:cs="宋体"/>
                <w:b/>
                <w:lang w:val="en-US" w:eastAsia="zh-CN"/>
              </w:rPr>
            </w:pPr>
            <w:r>
              <w:rPr>
                <w:rFonts w:ascii="仿宋_GB2312" w:hAnsi="宋体" w:eastAsia="仿宋_GB2312" w:cs="宋体"/>
                <w:b/>
              </w:rPr>
              <w:t>科室负责人</w:t>
            </w:r>
            <w:r>
              <w:rPr>
                <w:rFonts w:hint="eastAsia" w:ascii="仿宋_GB2312" w:hAnsi="宋体" w:eastAsia="仿宋_GB2312" w:cs="宋体"/>
                <w:b/>
              </w:rPr>
              <w:t>：</w:t>
            </w:r>
          </w:p>
          <w:p>
            <w:pPr>
              <w:pStyle w:val="12"/>
              <w:rPr>
                <w:rFonts w:ascii="仿宋_GB2312" w:hAnsi="宋体" w:eastAsia="仿宋_GB2312" w:cs="宋体"/>
                <w:b/>
              </w:rPr>
            </w:pPr>
          </w:p>
          <w:p>
            <w:pPr>
              <w:rPr>
                <w:rFonts w:ascii="仿宋_GB2312" w:hAnsi="宋体" w:eastAsia="仿宋_GB2312" w:cs="宋体"/>
                <w:b/>
                <w:sz w:val="32"/>
                <w:szCs w:val="32"/>
              </w:rPr>
            </w:pPr>
            <w:r>
              <w:rPr>
                <w:rFonts w:ascii="仿宋_GB2312" w:hAnsi="宋体" w:eastAsia="仿宋_GB2312" w:cs="宋体"/>
                <w:b/>
                <w:sz w:val="32"/>
                <w:szCs w:val="32"/>
              </w:rPr>
              <w:t>集体论证人员</w:t>
            </w:r>
            <w:r>
              <w:rPr>
                <w:rFonts w:hint="eastAsia" w:ascii="仿宋_GB2312" w:hAnsi="宋体" w:eastAsia="仿宋_GB2312" w:cs="宋体"/>
                <w:b/>
                <w:sz w:val="32"/>
                <w:szCs w:val="32"/>
              </w:rPr>
              <w:t>：</w:t>
            </w:r>
          </w:p>
          <w:p>
            <w:pPr>
              <w:pStyle w:val="12"/>
              <w:rPr>
                <w:rFonts w:ascii="仿宋_GB2312" w:hAnsi="宋体" w:eastAsia="仿宋_GB2312" w:cs="宋体"/>
                <w:b/>
              </w:rPr>
            </w:pPr>
          </w:p>
          <w:p>
            <w:pPr>
              <w:rPr>
                <w:rFonts w:ascii="仿宋_GB2312" w:hAnsi="宋体" w:eastAsia="仿宋_GB2312" w:cs="宋体"/>
                <w:b/>
                <w:sz w:val="32"/>
                <w:szCs w:val="32"/>
              </w:rPr>
            </w:pPr>
          </w:p>
          <w:p>
            <w:pPr>
              <w:pStyle w:val="12"/>
              <w:rPr>
                <w:rFonts w:ascii="仿宋_GB2312" w:hAnsi="宋体" w:eastAsia="仿宋_GB2312" w:cs="宋体"/>
                <w:b/>
              </w:rPr>
            </w:pPr>
            <w:r>
              <w:rPr>
                <w:rFonts w:ascii="仿宋_GB2312" w:hAnsi="宋体" w:eastAsia="仿宋_GB2312" w:cs="宋体"/>
                <w:b/>
              </w:rPr>
              <w:t>日期</w:t>
            </w:r>
            <w:r>
              <w:rPr>
                <w:rFonts w:hint="eastAsia" w:ascii="仿宋_GB2312" w:hAnsi="宋体" w:eastAsia="仿宋_GB2312" w:cs="宋体"/>
                <w:b/>
              </w:rPr>
              <w:t xml:space="preserve">：   </w:t>
            </w:r>
            <w:r>
              <w:rPr>
                <w:rFonts w:ascii="仿宋_GB2312" w:hAnsi="宋体" w:eastAsia="仿宋_GB2312" w:cs="宋体"/>
                <w:b/>
              </w:rPr>
              <w:t>年</w:t>
            </w:r>
            <w:r>
              <w:rPr>
                <w:rFonts w:hint="eastAsia" w:ascii="仿宋_GB2312" w:hAnsi="宋体" w:eastAsia="仿宋_GB2312" w:cs="宋体"/>
                <w:b/>
              </w:rPr>
              <w:t xml:space="preserve">  </w:t>
            </w:r>
            <w:r>
              <w:rPr>
                <w:rFonts w:ascii="仿宋_GB2312" w:hAnsi="宋体" w:eastAsia="仿宋_GB2312" w:cs="宋体"/>
                <w:b/>
              </w:rPr>
              <w:t>月</w:t>
            </w:r>
            <w:r>
              <w:rPr>
                <w:rFonts w:hint="eastAsia" w:ascii="仿宋_GB2312" w:hAnsi="宋体" w:eastAsia="仿宋_GB2312" w:cs="宋体"/>
                <w:b/>
              </w:rPr>
              <w:t xml:space="preserve"> </w:t>
            </w:r>
            <w:r>
              <w:rPr>
                <w:rFonts w:ascii="仿宋_GB2312" w:hAnsi="宋体" w:eastAsia="仿宋_GB2312" w:cs="宋体"/>
                <w:b/>
              </w:rPr>
              <w:t xml:space="preserve"> 日</w:t>
            </w:r>
          </w:p>
        </w:tc>
      </w:tr>
    </w:tbl>
    <w:p>
      <w:pPr>
        <w:pStyle w:val="12"/>
        <w:rPr>
          <w:rFonts w:ascii="Times New Roman"/>
          <w:sz w:val="20"/>
        </w:rPr>
      </w:pPr>
      <w:bookmarkStart w:id="0" w:name="_GoBack"/>
      <w:bookmarkEnd w:id="0"/>
    </w:p>
    <w:sectPr>
      <w:footerReference r:id="rId3" w:type="default"/>
      <w:footerReference r:id="rId4" w:type="even"/>
      <w:pgSz w:w="11910" w:h="16840"/>
      <w:pgMar w:top="1580" w:right="460" w:bottom="1620" w:left="460" w:header="0" w:footer="1431" w:gutter="0"/>
      <w:pgNumType w:start="3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00"/>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197B8"/>
    <w:multiLevelType w:val="singleLevel"/>
    <w:tmpl w:val="E81197B8"/>
    <w:lvl w:ilvl="0" w:tentative="0">
      <w:start w:val="1"/>
      <w:numFmt w:val="chineseCounting"/>
      <w:suff w:val="nothing"/>
      <w:lvlText w:val="（%1）"/>
      <w:lvlJc w:val="left"/>
      <w:rPr>
        <w:rFonts w:hint="eastAsia"/>
        <w:sz w:val="32"/>
        <w:szCs w:val="32"/>
      </w:rPr>
    </w:lvl>
  </w:abstractNum>
  <w:abstractNum w:abstractNumId="1">
    <w:nsid w:val="39CC7A37"/>
    <w:multiLevelType w:val="multilevel"/>
    <w:tmpl w:val="39CC7A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381868"/>
    <w:multiLevelType w:val="multilevel"/>
    <w:tmpl w:val="7D381868"/>
    <w:lvl w:ilvl="0" w:tentative="0">
      <w:start w:val="1"/>
      <w:numFmt w:val="decimal"/>
      <w:suff w:val="nothing"/>
      <w:lvlText w:val="%1、"/>
      <w:lvlJc w:val="left"/>
      <w:rPr>
        <w:rFonts w:hint="default" w:ascii="仿宋" w:hAnsi="仿宋" w:eastAsia="仿宋" w:cs="仿宋"/>
        <w:sz w:val="22"/>
        <w:szCs w:val="22"/>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泽谦">
    <w15:presenceInfo w15:providerId="None" w15:userId="李泽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D7"/>
    <w:rsid w:val="000105A8"/>
    <w:rsid w:val="000715CE"/>
    <w:rsid w:val="001954D7"/>
    <w:rsid w:val="001E76E8"/>
    <w:rsid w:val="00216D29"/>
    <w:rsid w:val="00216D71"/>
    <w:rsid w:val="00284AED"/>
    <w:rsid w:val="002C3289"/>
    <w:rsid w:val="002D42A5"/>
    <w:rsid w:val="00327C3B"/>
    <w:rsid w:val="003364B8"/>
    <w:rsid w:val="00341C68"/>
    <w:rsid w:val="00376E08"/>
    <w:rsid w:val="003D5774"/>
    <w:rsid w:val="00420712"/>
    <w:rsid w:val="004B251F"/>
    <w:rsid w:val="00501166"/>
    <w:rsid w:val="00504C85"/>
    <w:rsid w:val="00512888"/>
    <w:rsid w:val="005A106F"/>
    <w:rsid w:val="00665312"/>
    <w:rsid w:val="006D0201"/>
    <w:rsid w:val="006D5786"/>
    <w:rsid w:val="007072A6"/>
    <w:rsid w:val="00725718"/>
    <w:rsid w:val="00810DAC"/>
    <w:rsid w:val="008817A5"/>
    <w:rsid w:val="008B29BD"/>
    <w:rsid w:val="008C1222"/>
    <w:rsid w:val="0093279C"/>
    <w:rsid w:val="00962B5E"/>
    <w:rsid w:val="00974173"/>
    <w:rsid w:val="009B4179"/>
    <w:rsid w:val="00A534D4"/>
    <w:rsid w:val="00A755FB"/>
    <w:rsid w:val="00AC2D1E"/>
    <w:rsid w:val="00B90D46"/>
    <w:rsid w:val="00B921CD"/>
    <w:rsid w:val="00BB04F3"/>
    <w:rsid w:val="00BE35F2"/>
    <w:rsid w:val="00C26CBB"/>
    <w:rsid w:val="00CB5082"/>
    <w:rsid w:val="00D03685"/>
    <w:rsid w:val="00DA4B25"/>
    <w:rsid w:val="00E5664D"/>
    <w:rsid w:val="00E76E89"/>
    <w:rsid w:val="00EC5900"/>
    <w:rsid w:val="00EC7CCE"/>
    <w:rsid w:val="00EE6413"/>
    <w:rsid w:val="00F177FC"/>
    <w:rsid w:val="00FB7FC8"/>
    <w:rsid w:val="03B256CA"/>
    <w:rsid w:val="05C82E34"/>
    <w:rsid w:val="07B50934"/>
    <w:rsid w:val="087A1D48"/>
    <w:rsid w:val="08C86855"/>
    <w:rsid w:val="0BFE0EE8"/>
    <w:rsid w:val="0CFD24DF"/>
    <w:rsid w:val="0D0F6FEA"/>
    <w:rsid w:val="0D731822"/>
    <w:rsid w:val="107C119C"/>
    <w:rsid w:val="109B03CC"/>
    <w:rsid w:val="10CA5CE4"/>
    <w:rsid w:val="11BF53B6"/>
    <w:rsid w:val="12D57A36"/>
    <w:rsid w:val="15E83C7A"/>
    <w:rsid w:val="180453F5"/>
    <w:rsid w:val="18D06D44"/>
    <w:rsid w:val="1A224A6B"/>
    <w:rsid w:val="1B87578E"/>
    <w:rsid w:val="206A32E3"/>
    <w:rsid w:val="20AB5AC9"/>
    <w:rsid w:val="246B154C"/>
    <w:rsid w:val="274A1985"/>
    <w:rsid w:val="2B7E5C74"/>
    <w:rsid w:val="2D3C1DE0"/>
    <w:rsid w:val="319C18F5"/>
    <w:rsid w:val="348560D8"/>
    <w:rsid w:val="36F60E0B"/>
    <w:rsid w:val="39F44AC2"/>
    <w:rsid w:val="3DFA733B"/>
    <w:rsid w:val="401E123E"/>
    <w:rsid w:val="40340ECE"/>
    <w:rsid w:val="417E64AC"/>
    <w:rsid w:val="41F40989"/>
    <w:rsid w:val="46597944"/>
    <w:rsid w:val="493375A8"/>
    <w:rsid w:val="4CC95E8A"/>
    <w:rsid w:val="4E5B1D45"/>
    <w:rsid w:val="4FE73A8A"/>
    <w:rsid w:val="4FF62B3F"/>
    <w:rsid w:val="50EC5CBA"/>
    <w:rsid w:val="51D32A1D"/>
    <w:rsid w:val="58FA0259"/>
    <w:rsid w:val="5C334383"/>
    <w:rsid w:val="644559D2"/>
    <w:rsid w:val="65F20A51"/>
    <w:rsid w:val="67FE70A3"/>
    <w:rsid w:val="686471D1"/>
    <w:rsid w:val="68B41397"/>
    <w:rsid w:val="6967749D"/>
    <w:rsid w:val="69C23FA5"/>
    <w:rsid w:val="6F1005C4"/>
    <w:rsid w:val="71287A90"/>
    <w:rsid w:val="71CE7B8D"/>
    <w:rsid w:val="71D00147"/>
    <w:rsid w:val="73505EF2"/>
    <w:rsid w:val="75275C40"/>
    <w:rsid w:val="75D40AAA"/>
    <w:rsid w:val="777C6115"/>
    <w:rsid w:val="79D52DF1"/>
    <w:rsid w:val="7D5F255E"/>
    <w:rsid w:val="7D744D19"/>
    <w:rsid w:val="7DF81E4F"/>
    <w:rsid w:val="7FEB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jc w:val="center"/>
      <w:outlineLvl w:val="0"/>
    </w:pPr>
    <w:rPr>
      <w:rFonts w:ascii="宋体" w:hAnsi="宋体" w:eastAsia="宋体" w:cs="宋体"/>
      <w:sz w:val="44"/>
      <w:szCs w:val="44"/>
    </w:rPr>
  </w:style>
  <w:style w:type="paragraph" w:styleId="2">
    <w:name w:val="heading 2"/>
    <w:basedOn w:val="1"/>
    <w:next w:val="1"/>
    <w:link w:val="2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7"/>
    <w:unhideWhenUsed/>
    <w:qFormat/>
    <w:uiPriority w:val="99"/>
    <w:pPr>
      <w:jc w:val="left"/>
    </w:pPr>
  </w:style>
  <w:style w:type="paragraph" w:styleId="12">
    <w:name w:val="Body Text"/>
    <w:basedOn w:val="1"/>
    <w:next w:val="1"/>
    <w:link w:val="30"/>
    <w:qFormat/>
    <w:uiPriority w:val="1"/>
    <w:rPr>
      <w:sz w:val="32"/>
      <w:szCs w:val="32"/>
    </w:rPr>
  </w:style>
  <w:style w:type="paragraph" w:styleId="13">
    <w:name w:val="Body Text Indent"/>
    <w:basedOn w:val="1"/>
    <w:link w:val="26"/>
    <w:qFormat/>
    <w:uiPriority w:val="0"/>
    <w:pPr>
      <w:widowControl w:val="0"/>
      <w:spacing w:line="360" w:lineRule="auto"/>
      <w:ind w:left="608" w:hanging="608"/>
      <w:jc w:val="both"/>
    </w:pPr>
    <w:rPr>
      <w:rFonts w:ascii="宋体"/>
      <w:sz w:val="28"/>
    </w:rPr>
  </w:style>
  <w:style w:type="paragraph" w:styleId="14">
    <w:name w:val="footer"/>
    <w:basedOn w:val="1"/>
    <w:link w:val="24"/>
    <w:unhideWhenUsed/>
    <w:qFormat/>
    <w:uiPriority w:val="99"/>
    <w:pPr>
      <w:tabs>
        <w:tab w:val="center" w:pos="4153"/>
        <w:tab w:val="right" w:pos="8306"/>
      </w:tabs>
      <w:snapToGrid w:val="0"/>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link w:val="29"/>
    <w:qFormat/>
    <w:uiPriority w:val="0"/>
    <w:pPr>
      <w:spacing w:before="25" w:after="25" w:line="300" w:lineRule="auto"/>
    </w:pPr>
    <w:rPr>
      <w:rFonts w:ascii="Times" w:hAnsi="Times"/>
      <w:spacing w:val="10"/>
      <w:sz w:val="24"/>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2033" w:hanging="322"/>
    </w:pPr>
  </w:style>
  <w:style w:type="paragraph" w:customStyle="1" w:styleId="22">
    <w:name w:val="Table Paragraph"/>
    <w:basedOn w:val="1"/>
    <w:link w:val="25"/>
    <w:qFormat/>
    <w:uiPriority w:val="1"/>
    <w:rPr>
      <w:rFonts w:ascii="宋体" w:hAnsi="宋体" w:eastAsia="宋体" w:cs="宋体"/>
    </w:rPr>
  </w:style>
  <w:style w:type="character" w:customStyle="1" w:styleId="23">
    <w:name w:val="页眉 Char"/>
    <w:basedOn w:val="18"/>
    <w:link w:val="15"/>
    <w:qFormat/>
    <w:uiPriority w:val="99"/>
    <w:rPr>
      <w:rFonts w:ascii="仿宋" w:hAnsi="仿宋" w:eastAsia="仿宋" w:cs="仿宋"/>
      <w:sz w:val="18"/>
      <w:szCs w:val="18"/>
      <w:lang w:val="zh-CN" w:eastAsia="zh-CN" w:bidi="zh-CN"/>
    </w:rPr>
  </w:style>
  <w:style w:type="character" w:customStyle="1" w:styleId="24">
    <w:name w:val="页脚 Char"/>
    <w:basedOn w:val="18"/>
    <w:link w:val="14"/>
    <w:qFormat/>
    <w:uiPriority w:val="99"/>
    <w:rPr>
      <w:rFonts w:ascii="仿宋" w:hAnsi="仿宋" w:eastAsia="仿宋" w:cs="仿宋"/>
      <w:sz w:val="18"/>
      <w:szCs w:val="18"/>
      <w:lang w:val="zh-CN" w:eastAsia="zh-CN" w:bidi="zh-CN"/>
    </w:rPr>
  </w:style>
  <w:style w:type="character" w:customStyle="1" w:styleId="25">
    <w:name w:val="Table Paragraph Char"/>
    <w:link w:val="22"/>
    <w:qFormat/>
    <w:uiPriority w:val="1"/>
    <w:rPr>
      <w:rFonts w:ascii="宋体" w:hAnsi="宋体" w:eastAsia="宋体" w:cs="宋体"/>
    </w:rPr>
  </w:style>
  <w:style w:type="character" w:customStyle="1" w:styleId="26">
    <w:name w:val="正文文本缩进 Char"/>
    <w:link w:val="13"/>
    <w:qFormat/>
    <w:uiPriority w:val="0"/>
    <w:rPr>
      <w:rFonts w:ascii="宋体"/>
      <w:sz w:val="28"/>
    </w:rPr>
  </w:style>
  <w:style w:type="character" w:customStyle="1" w:styleId="27">
    <w:name w:val="批注文字 Char"/>
    <w:link w:val="11"/>
    <w:qFormat/>
    <w:uiPriority w:val="99"/>
  </w:style>
  <w:style w:type="character" w:customStyle="1" w:styleId="28">
    <w:name w:val="标题 2 Char"/>
    <w:link w:val="2"/>
    <w:qFormat/>
    <w:uiPriority w:val="0"/>
    <w:rPr>
      <w:rFonts w:ascii="Arial" w:hAnsi="Arial" w:eastAsia="黑体"/>
      <w:b/>
      <w:bCs/>
      <w:sz w:val="32"/>
      <w:szCs w:val="32"/>
    </w:rPr>
  </w:style>
  <w:style w:type="character" w:customStyle="1" w:styleId="29">
    <w:name w:val="表格文字 Char"/>
    <w:link w:val="19"/>
    <w:qFormat/>
    <w:uiPriority w:val="0"/>
    <w:rPr>
      <w:rFonts w:ascii="Times" w:hAnsi="Times"/>
      <w:spacing w:val="10"/>
      <w:sz w:val="24"/>
    </w:rPr>
  </w:style>
  <w:style w:type="character" w:customStyle="1" w:styleId="30">
    <w:name w:val="正文文本 Char"/>
    <w:link w:val="12"/>
    <w:qFormat/>
    <w:uiPriority w:val="1"/>
    <w:rPr>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9641</Words>
  <Characters>10081</Characters>
  <Lines>19</Lines>
  <Paragraphs>5</Paragraphs>
  <TotalTime>1</TotalTime>
  <ScaleCrop>false</ScaleCrop>
  <LinksUpToDate>false</LinksUpToDate>
  <CharactersWithSpaces>10995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2024-04-29T15:16:00Z</dcterms:created>
  <dc:creator>fy</dc:creator>
  <cp:lastModifiedBy>李泽谦</cp:lastModifiedBy>
  <dcterms:modified xsi:type="dcterms:W3CDTF">2025-04-23T08:57:18Z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Aspose Ltd.</vt:lpwstr>
  </property>
  <property fmtid="{D5CDD505-2E9C-101B-9397-08002B2CF9AE}" pid="4" name="LastSaved">
    <vt:filetime>2024-04-29T00:00:00Z</vt:filetime>
  </property>
  <property fmtid="{D5CDD505-2E9C-101B-9397-08002B2CF9AE}" pid="5" name="KSOProductBuildVer">
    <vt:lpwstr>2052-11.8.2.12085</vt:lpwstr>
  </property>
  <property fmtid="{D5CDD505-2E9C-101B-9397-08002B2CF9AE}" pid="6" name="ICV">
    <vt:lpwstr>78A98C48F8C64FBE821FED49ABDF7377</vt:lpwstr>
  </property>
  <property fmtid="{D5CDD505-2E9C-101B-9397-08002B2CF9AE}" pid="7" name="KSOTemplateDocerSaveRecord">
    <vt:lpwstr>eyJoZGlkIjoiNmM2MjcwOTZkMGJiM2NhOGRlODBlYmQ5ODNhODJiNTYiLCJ1c2VySWQiOiI1MTI5MjExMTEifQ==</vt:lpwstr>
  </property>
</Properties>
</file>